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31" w:rsidRDefault="00AE5E31" w:rsidP="00AE5E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5E31" w:rsidRDefault="00AE5E31" w:rsidP="00AE5E31">
      <w:pPr>
        <w:widowControl w:val="0"/>
        <w:autoSpaceDE w:val="0"/>
        <w:autoSpaceDN w:val="0"/>
        <w:adjustRightInd w:val="0"/>
      </w:pPr>
      <w:r>
        <w:t>SOURCE:  Emergency rule adopted at 8 Ill. Reg. 357, effective January 1, 1984, for a maximum of 150 days; adopted at 8 Ill. Reg. 7795, effective May 23, 1984; amended at 24 Ill. Reg. 1665</w:t>
      </w:r>
      <w:r w:rsidR="008F2BF3">
        <w:t xml:space="preserve">3, effective October 27, 2000. </w:t>
      </w:r>
    </w:p>
    <w:sectPr w:rsidR="00AE5E31" w:rsidSect="00AE5E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5E31"/>
    <w:rsid w:val="0053597B"/>
    <w:rsid w:val="005C3366"/>
    <w:rsid w:val="008F2BF3"/>
    <w:rsid w:val="00A07710"/>
    <w:rsid w:val="00AE5E31"/>
    <w:rsid w:val="00BD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8 Ill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8 Ill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