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FB" w:rsidRDefault="00061EFB" w:rsidP="00061E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EFB" w:rsidRDefault="00061EFB" w:rsidP="00061EFB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proofErr w:type="spellStart"/>
      <w:r>
        <w:t>14a</w:t>
      </w:r>
      <w:proofErr w:type="spellEnd"/>
      <w:r>
        <w:t xml:space="preserve"> of the State Financing Act [30 </w:t>
      </w:r>
      <w:proofErr w:type="spellStart"/>
      <w:r>
        <w:t>ILCS</w:t>
      </w:r>
      <w:proofErr w:type="spellEnd"/>
      <w:r>
        <w:t xml:space="preserve"> 105/</w:t>
      </w:r>
      <w:proofErr w:type="spellStart"/>
      <w:r>
        <w:t>14a</w:t>
      </w:r>
      <w:proofErr w:type="spellEnd"/>
      <w:r>
        <w:t xml:space="preserve">]. </w:t>
      </w:r>
    </w:p>
    <w:sectPr w:rsidR="00061EFB" w:rsidSect="00061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EFB"/>
    <w:rsid w:val="00061EFB"/>
    <w:rsid w:val="000C6A03"/>
    <w:rsid w:val="005C3366"/>
    <w:rsid w:val="005C5107"/>
    <w:rsid w:val="00A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14a of the State Financing Act [30 ILCS 105/14a]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14a of the State Financing Act [30 ILCS 105/14a]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