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9A" w:rsidRDefault="0029259A" w:rsidP="002925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59A" w:rsidRDefault="0029259A" w:rsidP="002925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302.825  Reemployment Rights to Term Appointment</w:t>
      </w:r>
      <w:r>
        <w:t xml:space="preserve"> </w:t>
      </w:r>
    </w:p>
    <w:p w:rsidR="0029259A" w:rsidRDefault="0029259A" w:rsidP="0029259A">
      <w:pPr>
        <w:widowControl w:val="0"/>
        <w:autoSpaceDE w:val="0"/>
        <w:autoSpaceDN w:val="0"/>
        <w:adjustRightInd w:val="0"/>
      </w:pPr>
    </w:p>
    <w:p w:rsidR="0029259A" w:rsidRDefault="0029259A" w:rsidP="0029259A">
      <w:pPr>
        <w:widowControl w:val="0"/>
        <w:autoSpaceDE w:val="0"/>
        <w:autoSpaceDN w:val="0"/>
        <w:adjustRightInd w:val="0"/>
      </w:pPr>
      <w:r>
        <w:t xml:space="preserve">No employee with reemployment rights granted under Section 302.570 shall be recalled to a position under Term Appointment, unless the employee has previously been appointed to a four year term.  Said reemployment rights shall be limited to the term appointment position held at time of layoff except that an employee laid off from a Senior Public Service Administrator position may also be eligible for reemployment to other related positions in the Senior Public Service Administrator classification pursuant to Section 302.570(b). </w:t>
      </w:r>
    </w:p>
    <w:p w:rsidR="0029259A" w:rsidRDefault="0029259A" w:rsidP="0029259A">
      <w:pPr>
        <w:widowControl w:val="0"/>
        <w:autoSpaceDE w:val="0"/>
        <w:autoSpaceDN w:val="0"/>
        <w:adjustRightInd w:val="0"/>
      </w:pPr>
    </w:p>
    <w:p w:rsidR="0029259A" w:rsidRDefault="0029259A" w:rsidP="002925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1892, effective January 25, 1994) </w:t>
      </w:r>
    </w:p>
    <w:sectPr w:rsidR="0029259A" w:rsidSect="00292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59A"/>
    <w:rsid w:val="000F4AE9"/>
    <w:rsid w:val="0029259A"/>
    <w:rsid w:val="004F6C35"/>
    <w:rsid w:val="005C3366"/>
    <w:rsid w:val="006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