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19" w:rsidRDefault="00D17319" w:rsidP="00D17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319" w:rsidRDefault="00D17319" w:rsidP="00D173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3500.125  Period of Licensure</w:t>
      </w:r>
      <w:r>
        <w:t xml:space="preserve"> </w:t>
      </w:r>
    </w:p>
    <w:p w:rsidR="00D17319" w:rsidRDefault="00D17319" w:rsidP="00D17319">
      <w:pPr>
        <w:widowControl w:val="0"/>
        <w:autoSpaceDE w:val="0"/>
        <w:autoSpaceDN w:val="0"/>
        <w:adjustRightInd w:val="0"/>
      </w:pPr>
    </w:p>
    <w:p w:rsidR="00D17319" w:rsidRDefault="00D17319" w:rsidP="00D17319">
      <w:pPr>
        <w:widowControl w:val="0"/>
        <w:autoSpaceDE w:val="0"/>
        <w:autoSpaceDN w:val="0"/>
        <w:adjustRightInd w:val="0"/>
      </w:pPr>
      <w:r>
        <w:t xml:space="preserve">Each license issued by the Commission shall be effective for a period of one year. </w:t>
      </w:r>
    </w:p>
    <w:p w:rsidR="00D17319" w:rsidRDefault="00D17319" w:rsidP="00D17319">
      <w:pPr>
        <w:widowControl w:val="0"/>
        <w:autoSpaceDE w:val="0"/>
        <w:autoSpaceDN w:val="0"/>
        <w:adjustRightInd w:val="0"/>
      </w:pPr>
    </w:p>
    <w:p w:rsidR="00D17319" w:rsidRDefault="00D17319" w:rsidP="00D173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1630, effective January 14, 2000) </w:t>
      </w:r>
    </w:p>
    <w:sectPr w:rsidR="00D17319" w:rsidSect="00D17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319"/>
    <w:rsid w:val="0016379B"/>
    <w:rsid w:val="005C3366"/>
    <w:rsid w:val="00AC14AA"/>
    <w:rsid w:val="00AC319C"/>
    <w:rsid w:val="00D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