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659" w:rsidRDefault="00A70659" w:rsidP="00A70659">
      <w:pPr>
        <w:widowControl w:val="0"/>
        <w:autoSpaceDE w:val="0"/>
        <w:autoSpaceDN w:val="0"/>
        <w:adjustRightInd w:val="0"/>
      </w:pPr>
    </w:p>
    <w:p w:rsidR="00A70659" w:rsidRDefault="00A70659" w:rsidP="00A7065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3100.400  Requirement of Prescription</w:t>
      </w:r>
      <w:r>
        <w:rPr>
          <w:b/>
        </w:rPr>
        <w:t xml:space="preserve"> for Schedule II Controlled Substances</w:t>
      </w:r>
    </w:p>
    <w:p w:rsidR="00A70659" w:rsidRDefault="00A70659" w:rsidP="00A70659">
      <w:pPr>
        <w:widowControl w:val="0"/>
        <w:autoSpaceDE w:val="0"/>
        <w:autoSpaceDN w:val="0"/>
        <w:adjustRightInd w:val="0"/>
      </w:pPr>
    </w:p>
    <w:p w:rsidR="00A70659" w:rsidRDefault="00A70659" w:rsidP="00A706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pharmacist may fill a Schedule II controlled substance prescription upon a written or electronic prescription that conforms with the requirements of Section 311.5 or 312 of the Act, respectively, and the requirements of this Part. </w:t>
      </w:r>
    </w:p>
    <w:p w:rsidR="00A70659" w:rsidRDefault="00A70659" w:rsidP="00A70659"/>
    <w:p w:rsidR="00A70659" w:rsidRDefault="00A70659" w:rsidP="00A706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individual practitioner may administer or dispense directly a controlled substance listed in Schedule II in the course of his or her professional practice subject to the Act and this Part. </w:t>
      </w:r>
    </w:p>
    <w:p w:rsidR="00A70659" w:rsidRDefault="00A70659" w:rsidP="00A70659"/>
    <w:p w:rsidR="00A70659" w:rsidRDefault="00A70659" w:rsidP="00A70659">
      <w:pPr>
        <w:ind w:left="1440" w:hanging="720"/>
      </w:pPr>
      <w:r>
        <w:t>c)</w:t>
      </w:r>
      <w:r>
        <w:tab/>
        <w:t>Changes in a Prescription</w:t>
      </w:r>
    </w:p>
    <w:p w:rsidR="00A70659" w:rsidRDefault="00A70659" w:rsidP="00A70659"/>
    <w:p w:rsidR="00A70659" w:rsidRDefault="00A70659" w:rsidP="00A70659">
      <w:pPr>
        <w:ind w:left="2160" w:hanging="720"/>
      </w:pPr>
      <w:r>
        <w:t>1)</w:t>
      </w:r>
      <w:r>
        <w:tab/>
        <w:t>A pharmacist may not change the following components of a prescription for a Schedule II controlled substance:</w:t>
      </w:r>
    </w:p>
    <w:p w:rsidR="00A70659" w:rsidRDefault="00A70659" w:rsidP="00A70659"/>
    <w:p w:rsidR="00A70659" w:rsidRDefault="00A70659" w:rsidP="00A70659">
      <w:pPr>
        <w:ind w:left="2160"/>
      </w:pPr>
      <w:r>
        <w:t>A)</w:t>
      </w:r>
      <w:r>
        <w:tab/>
        <w:t>Date written, or add the date;</w:t>
      </w:r>
    </w:p>
    <w:p w:rsidR="00A70659" w:rsidRDefault="00A70659" w:rsidP="00A70659"/>
    <w:p w:rsidR="00A70659" w:rsidRDefault="00A70659" w:rsidP="00A70659">
      <w:pPr>
        <w:ind w:left="2160"/>
      </w:pPr>
      <w:r>
        <w:t>B)</w:t>
      </w:r>
      <w:r>
        <w:tab/>
        <w:t>Name of the patient;</w:t>
      </w:r>
    </w:p>
    <w:p w:rsidR="00A70659" w:rsidRDefault="00A70659" w:rsidP="00A70659"/>
    <w:p w:rsidR="00A70659" w:rsidRDefault="00A70659" w:rsidP="00A70659">
      <w:pPr>
        <w:ind w:left="2160"/>
      </w:pPr>
      <w:r>
        <w:t>C)</w:t>
      </w:r>
      <w:r>
        <w:tab/>
        <w:t>Name of the prescriber, or add a signature; and</w:t>
      </w:r>
    </w:p>
    <w:p w:rsidR="00A70659" w:rsidRDefault="00A70659" w:rsidP="00A70659"/>
    <w:p w:rsidR="00A70659" w:rsidRDefault="00A70659" w:rsidP="00A70659">
      <w:pPr>
        <w:ind w:left="2160"/>
      </w:pPr>
      <w:r>
        <w:t>D)</w:t>
      </w:r>
      <w:r>
        <w:tab/>
        <w:t>Name of the drug.</w:t>
      </w:r>
    </w:p>
    <w:p w:rsidR="00A70659" w:rsidRDefault="00A70659" w:rsidP="00A70659"/>
    <w:p w:rsidR="00A70659" w:rsidRDefault="00A70659" w:rsidP="00A70659">
      <w:pPr>
        <w:ind w:left="2160" w:hanging="720"/>
      </w:pPr>
      <w:r>
        <w:t>2)</w:t>
      </w:r>
      <w:r>
        <w:tab/>
        <w:t>Any other components of a prescription for a Schedule II controlled substance may be changed after consultation with the prescriber.</w:t>
      </w:r>
    </w:p>
    <w:p w:rsidR="00A70659" w:rsidRDefault="00A70659" w:rsidP="00A70659"/>
    <w:p w:rsidR="00A70659" w:rsidRDefault="00A70659" w:rsidP="00A7065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 an emergency situation, as defined by subsection (e), a pharmacist, in accordance with requirements in 21 CFR 1306.11(d) (April 1, 2014) and Section 309 of the Act, may fill an oral prescription for a Schedule II controlled substance. </w:t>
      </w:r>
    </w:p>
    <w:p w:rsidR="00A70659" w:rsidRDefault="00A70659" w:rsidP="00A70659"/>
    <w:p w:rsidR="00A70659" w:rsidRDefault="00A70659" w:rsidP="00A7065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For the purposes of authorizing an oral prescription of a controlled substance listed in Schedule II of the Act, the term "emergency situation" means those situations in which the prescribing practitioner determines that: </w:t>
      </w:r>
    </w:p>
    <w:p w:rsidR="00A70659" w:rsidRDefault="00A70659" w:rsidP="00A70659"/>
    <w:p w:rsidR="00A70659" w:rsidRDefault="00A70659" w:rsidP="00A7065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Immediate administration of the controlled substance is necessary for proper treatment of the intended ultimate user; </w:t>
      </w:r>
    </w:p>
    <w:p w:rsidR="00A70659" w:rsidRDefault="00A70659" w:rsidP="00A70659"/>
    <w:p w:rsidR="00A70659" w:rsidRDefault="00A70659" w:rsidP="00A7065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appropriate alternative treatment is available, including administration of a drug that is not a controlled substance under Schedule II of the Act; and </w:t>
      </w:r>
    </w:p>
    <w:p w:rsidR="00A70659" w:rsidRDefault="00A70659" w:rsidP="00A70659"/>
    <w:p w:rsidR="00A70659" w:rsidRDefault="00A70659" w:rsidP="00A7065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It is not reasonably possible for the prescribing practitioner to provide a written prescription to be presented to the person dispensing the substance, prior to the dispensing. </w:t>
      </w:r>
    </w:p>
    <w:p w:rsidR="00A70659" w:rsidRDefault="00A70659" w:rsidP="00A70659"/>
    <w:p w:rsidR="00A70659" w:rsidRDefault="00A70659" w:rsidP="00A70659">
      <w:pPr>
        <w:pStyle w:val="JCARSourceNote"/>
        <w:ind w:left="1440" w:hanging="720"/>
      </w:pPr>
      <w:r>
        <w:t>f)</w:t>
      </w:r>
      <w:r>
        <w:tab/>
        <w:t>Notwithstanding any other provision in this Section, prescriptions for Schedule II controlled substances may be sent to a pharmacy via facsimile in accordance with Section 313 of the Act.</w:t>
      </w:r>
    </w:p>
    <w:p w:rsidR="00A70659" w:rsidRDefault="00A70659" w:rsidP="00A70659"/>
    <w:p w:rsidR="00A70659" w:rsidRDefault="00A70659" w:rsidP="00A70659">
      <w:pPr>
        <w:pStyle w:val="JCARSourceNote"/>
        <w:ind w:left="720"/>
      </w:pPr>
      <w:r>
        <w:t>(Source:  Amended at 39 Ill. Reg. 3656, effective February 27, 2015)</w:t>
      </w:r>
      <w:bookmarkStart w:id="0" w:name="_GoBack"/>
      <w:bookmarkEnd w:id="0"/>
    </w:p>
    <w:sectPr w:rsidR="00A70659" w:rsidSect="00DB29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9C5"/>
    <w:rsid w:val="000B2C28"/>
    <w:rsid w:val="0020194D"/>
    <w:rsid w:val="00281163"/>
    <w:rsid w:val="003C35F5"/>
    <w:rsid w:val="00464790"/>
    <w:rsid w:val="005825BA"/>
    <w:rsid w:val="005C3366"/>
    <w:rsid w:val="006D63B3"/>
    <w:rsid w:val="007354F9"/>
    <w:rsid w:val="008B6FCF"/>
    <w:rsid w:val="009F4913"/>
    <w:rsid w:val="00A70659"/>
    <w:rsid w:val="00AB425A"/>
    <w:rsid w:val="00C759B3"/>
    <w:rsid w:val="00D913CB"/>
    <w:rsid w:val="00DB29C5"/>
    <w:rsid w:val="00E0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9EAE3D-348F-4117-A06F-2D7954A5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6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F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2015-03-09T19:25:00Z</dcterms:modified>
</cp:coreProperties>
</file>