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62" w:rsidRDefault="00422B62" w:rsidP="00422B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B62" w:rsidRDefault="00422B62" w:rsidP="00422B62">
      <w:pPr>
        <w:widowControl w:val="0"/>
        <w:autoSpaceDE w:val="0"/>
        <w:autoSpaceDN w:val="0"/>
        <w:adjustRightInd w:val="0"/>
      </w:pPr>
      <w:r>
        <w:t xml:space="preserve">AUTHORITY:  Implementing Section 2-3 and 2-4 of Article II and authorized by Section 2-3 of Article II of the Illinois Health Finance Reform Act (Ill. Rev. Stat. 1984 Supp., ch. 111 1/2, pars. 6504-2 and 6502-4). </w:t>
      </w:r>
    </w:p>
    <w:sectPr w:rsidR="00422B62" w:rsidSect="00422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B62"/>
    <w:rsid w:val="00422B62"/>
    <w:rsid w:val="00481F04"/>
    <w:rsid w:val="005C3366"/>
    <w:rsid w:val="00CD7B26"/>
    <w:rsid w:val="00F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2-3 and 2-4 of Article II and authorized by Section 2-3 of Article II of the Illinois Health 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2-3 and 2-4 of Article II and authorized by Section 2-3 of Article II of the Illinois Health 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