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EA" w:rsidRDefault="001E46EA" w:rsidP="001E4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6EA" w:rsidRDefault="001E46EA" w:rsidP="001E46EA">
      <w:pPr>
        <w:widowControl w:val="0"/>
        <w:autoSpaceDE w:val="0"/>
        <w:autoSpaceDN w:val="0"/>
        <w:adjustRightInd w:val="0"/>
      </w:pPr>
      <w:r>
        <w:t xml:space="preserve">AUTHORITY:  Implementing the Developmental Disability Prevention Act [410 ILCS 250], the Lead Poisoning Prevention Act [410 ILCS 45], the Infant Mortality Reduction Act [410 ILCS 220] and the Problem Pregnancy Health Services Care Act [410 ILCS 230] and authorized by Sections 80-15 and 80-30 of the Department of Human Services Act [20 ILCS 1305/80-15 and 80-30]. </w:t>
      </w:r>
    </w:p>
    <w:sectPr w:rsidR="001E46EA" w:rsidSect="001E4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6EA"/>
    <w:rsid w:val="001E46EA"/>
    <w:rsid w:val="005C3366"/>
    <w:rsid w:val="00781AED"/>
    <w:rsid w:val="00A9713A"/>
    <w:rsid w:val="00B3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Developmental Disability Prevention Act [410 ILCS 250], the Lead Poisoning Prevention Act [410 IL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Developmental Disability Prevention Act [410 ILCS 250], the Lead Poisoning Prevention Act [410 IL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