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2D" w:rsidRDefault="00AC022D" w:rsidP="00AC02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22D" w:rsidRDefault="00AC022D" w:rsidP="00AC02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2070.2115  Difenoxin and Atropine Sulfate</w:t>
      </w:r>
      <w:r>
        <w:t xml:space="preserve"> </w:t>
      </w:r>
    </w:p>
    <w:p w:rsidR="00AC022D" w:rsidRDefault="00AC022D" w:rsidP="00AC022D">
      <w:pPr>
        <w:widowControl w:val="0"/>
        <w:autoSpaceDE w:val="0"/>
        <w:autoSpaceDN w:val="0"/>
        <w:adjustRightInd w:val="0"/>
      </w:pPr>
    </w:p>
    <w:p w:rsidR="00AC022D" w:rsidRDefault="00AC022D" w:rsidP="00AC022D">
      <w:pPr>
        <w:widowControl w:val="0"/>
        <w:autoSpaceDE w:val="0"/>
        <w:autoSpaceDN w:val="0"/>
        <w:adjustRightInd w:val="0"/>
      </w:pPr>
      <w:r>
        <w:t xml:space="preserve">Not more than 1 milligram of difenoxin (DEA Drug Code No. 9618) and not less than 25 micrograms of atropine sulfate per dosage unit. </w:t>
      </w:r>
    </w:p>
    <w:sectPr w:rsidR="00AC022D" w:rsidSect="00AC0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22D"/>
    <w:rsid w:val="0056106A"/>
    <w:rsid w:val="005C3366"/>
    <w:rsid w:val="00887726"/>
    <w:rsid w:val="009921D8"/>
    <w:rsid w:val="00AC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