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35" w:rsidRDefault="00660F35" w:rsidP="00660F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0F35" w:rsidRDefault="00660F35" w:rsidP="00660F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2070.1925  Dihydrocodeine</w:t>
      </w:r>
      <w:r>
        <w:t xml:space="preserve"> </w:t>
      </w:r>
    </w:p>
    <w:p w:rsidR="00660F35" w:rsidRDefault="00660F35" w:rsidP="00660F35">
      <w:pPr>
        <w:widowControl w:val="0"/>
        <w:autoSpaceDE w:val="0"/>
        <w:autoSpaceDN w:val="0"/>
        <w:adjustRightInd w:val="0"/>
      </w:pPr>
    </w:p>
    <w:p w:rsidR="00660F35" w:rsidRDefault="00660F35" w:rsidP="00660F35">
      <w:pPr>
        <w:widowControl w:val="0"/>
        <w:autoSpaceDE w:val="0"/>
        <w:autoSpaceDN w:val="0"/>
        <w:adjustRightInd w:val="0"/>
      </w:pPr>
      <w:r>
        <w:t xml:space="preserve">Not more than 1.8 grams of dihydrocodeine, or any of its salts per 100 milliliters or not more than 90 milligrams per dosage unit, with one or more active, non-narcotic ingredients in recognized therapeutic amounts. </w:t>
      </w:r>
    </w:p>
    <w:sectPr w:rsidR="00660F35" w:rsidSect="00660F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F35"/>
    <w:rsid w:val="00003CCD"/>
    <w:rsid w:val="005C3366"/>
    <w:rsid w:val="00660F35"/>
    <w:rsid w:val="007441B6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