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6B" w:rsidRDefault="0030266B" w:rsidP="003026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66B" w:rsidRDefault="0030266B" w:rsidP="003026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2070.297  Para-fluorofentanyl</w:t>
      </w:r>
      <w:r>
        <w:t xml:space="preserve"> </w:t>
      </w:r>
    </w:p>
    <w:p w:rsidR="0030266B" w:rsidRDefault="0030266B" w:rsidP="0030266B">
      <w:pPr>
        <w:widowControl w:val="0"/>
        <w:autoSpaceDE w:val="0"/>
        <w:autoSpaceDN w:val="0"/>
        <w:adjustRightInd w:val="0"/>
      </w:pPr>
    </w:p>
    <w:p w:rsidR="0030266B" w:rsidRDefault="0030266B" w:rsidP="0030266B">
      <w:pPr>
        <w:widowControl w:val="0"/>
        <w:autoSpaceDE w:val="0"/>
        <w:autoSpaceDN w:val="0"/>
        <w:adjustRightInd w:val="0"/>
      </w:pPr>
      <w:r>
        <w:t xml:space="preserve">Para-fluorofentanyl (N-(4-fluorophenyl)-N-[1-(2-phenethyl)-4-piperidinyl] propanamide) </w:t>
      </w:r>
    </w:p>
    <w:p w:rsidR="0030266B" w:rsidRDefault="0030266B" w:rsidP="0030266B">
      <w:pPr>
        <w:widowControl w:val="0"/>
        <w:autoSpaceDE w:val="0"/>
        <w:autoSpaceDN w:val="0"/>
        <w:adjustRightInd w:val="0"/>
      </w:pPr>
    </w:p>
    <w:p w:rsidR="0030266B" w:rsidRDefault="0030266B" w:rsidP="003026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 3081 effective February 2, 1996) </w:t>
      </w:r>
    </w:p>
    <w:sectPr w:rsidR="0030266B" w:rsidSect="00302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66B"/>
    <w:rsid w:val="0024083F"/>
    <w:rsid w:val="0030266B"/>
    <w:rsid w:val="005C3366"/>
    <w:rsid w:val="00702659"/>
    <w:rsid w:val="008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