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71" w:rsidRDefault="00563B71" w:rsidP="00563B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3B71" w:rsidRDefault="00563B71" w:rsidP="00563B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2070.148  PEPAP 1-(2-phenylethyl)-4-phenyl-4-acetyloxypiperidine</w:t>
      </w:r>
      <w:r>
        <w:t xml:space="preserve"> </w:t>
      </w:r>
    </w:p>
    <w:p w:rsidR="00563B71" w:rsidRDefault="00563B71" w:rsidP="00563B71">
      <w:pPr>
        <w:widowControl w:val="0"/>
        <w:autoSpaceDE w:val="0"/>
        <w:autoSpaceDN w:val="0"/>
        <w:adjustRightInd w:val="0"/>
      </w:pPr>
    </w:p>
    <w:p w:rsidR="00563B71" w:rsidRDefault="00563B71" w:rsidP="00563B71">
      <w:pPr>
        <w:widowControl w:val="0"/>
        <w:autoSpaceDE w:val="0"/>
        <w:autoSpaceDN w:val="0"/>
        <w:adjustRightInd w:val="0"/>
      </w:pPr>
      <w:r>
        <w:t xml:space="preserve">PEPAP 1-(2-phenethyl)-4-phenyl-4-acetoxypiperidine) </w:t>
      </w:r>
    </w:p>
    <w:p w:rsidR="00563B71" w:rsidRDefault="00563B71" w:rsidP="00563B71">
      <w:pPr>
        <w:widowControl w:val="0"/>
        <w:autoSpaceDE w:val="0"/>
        <w:autoSpaceDN w:val="0"/>
        <w:adjustRightInd w:val="0"/>
      </w:pPr>
    </w:p>
    <w:p w:rsidR="00563B71" w:rsidRDefault="00563B71" w:rsidP="00563B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 3081, effective February 2, 1996) </w:t>
      </w:r>
    </w:p>
    <w:sectPr w:rsidR="00563B71" w:rsidSect="00563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B71"/>
    <w:rsid w:val="004A6847"/>
    <w:rsid w:val="00563B71"/>
    <w:rsid w:val="005C3366"/>
    <w:rsid w:val="00BC7F5B"/>
    <w:rsid w:val="00DA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