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061" w:rsidRDefault="00D56061" w:rsidP="00D5606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56061" w:rsidRDefault="00D56061" w:rsidP="00D56061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2070.130  Alphacetylmethadol</w:t>
      </w:r>
      <w:r>
        <w:t xml:space="preserve"> </w:t>
      </w:r>
    </w:p>
    <w:p w:rsidR="00D56061" w:rsidRDefault="00D56061" w:rsidP="00D56061">
      <w:pPr>
        <w:widowControl w:val="0"/>
        <w:autoSpaceDE w:val="0"/>
        <w:autoSpaceDN w:val="0"/>
        <w:adjustRightInd w:val="0"/>
      </w:pPr>
    </w:p>
    <w:p w:rsidR="00D56061" w:rsidRDefault="00D56061" w:rsidP="00D56061">
      <w:pPr>
        <w:widowControl w:val="0"/>
        <w:autoSpaceDE w:val="0"/>
        <w:autoSpaceDN w:val="0"/>
        <w:adjustRightInd w:val="0"/>
      </w:pPr>
      <w:r>
        <w:t xml:space="preserve">Alphacetylmethadol, except levo-alphacetylmethadol (also known as:  levo-alpha- </w:t>
      </w:r>
    </w:p>
    <w:p w:rsidR="00D56061" w:rsidRDefault="00D56061" w:rsidP="00D56061">
      <w:pPr>
        <w:widowControl w:val="0"/>
        <w:autoSpaceDE w:val="0"/>
        <w:autoSpaceDN w:val="0"/>
        <w:adjustRightInd w:val="0"/>
      </w:pPr>
      <w:r>
        <w:t xml:space="preserve">acetylmethadol, levomethadyl acetate, or LAAM) </w:t>
      </w:r>
    </w:p>
    <w:p w:rsidR="00D56061" w:rsidRDefault="00D56061" w:rsidP="00D56061">
      <w:pPr>
        <w:widowControl w:val="0"/>
        <w:autoSpaceDE w:val="0"/>
        <w:autoSpaceDN w:val="0"/>
        <w:adjustRightInd w:val="0"/>
      </w:pPr>
    </w:p>
    <w:p w:rsidR="00D56061" w:rsidRDefault="00D56061" w:rsidP="00D5606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20 Ill. Reg 3081, effective February 2, 1996) </w:t>
      </w:r>
    </w:p>
    <w:sectPr w:rsidR="00D56061" w:rsidSect="00D5606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56061"/>
    <w:rsid w:val="004B36F9"/>
    <w:rsid w:val="005018BC"/>
    <w:rsid w:val="005C3366"/>
    <w:rsid w:val="00785B2F"/>
    <w:rsid w:val="00D56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2012-06-22T02:23:00Z</dcterms:created>
  <dcterms:modified xsi:type="dcterms:W3CDTF">2012-06-22T02:23:00Z</dcterms:modified>
</cp:coreProperties>
</file>