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CE" w:rsidRDefault="00A36BCE" w:rsidP="00A36B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6BCE" w:rsidRDefault="00A36BCE" w:rsidP="00A36BCE">
      <w:pPr>
        <w:widowControl w:val="0"/>
        <w:autoSpaceDE w:val="0"/>
        <w:autoSpaceDN w:val="0"/>
        <w:adjustRightInd w:val="0"/>
      </w:pPr>
      <w:r>
        <w:t xml:space="preserve">SOURCE:  Recodified to 77 Ill. Adm. Code 3500 at 23 Ill. Reg. 11342. </w:t>
      </w:r>
    </w:p>
    <w:sectPr w:rsidR="00A36BCE" w:rsidSect="00A36B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6BCE"/>
    <w:rsid w:val="005C3366"/>
    <w:rsid w:val="007C11F7"/>
    <w:rsid w:val="00A36BCE"/>
    <w:rsid w:val="00B958CD"/>
    <w:rsid w:val="00BE62D1"/>
    <w:rsid w:val="00C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to 77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to 77 Ill</dc:title>
  <dc:subject/>
  <dc:creator>Illinois General Assembly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