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15" w:rsidRDefault="00784715" w:rsidP="007847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4715" w:rsidRDefault="00784715" w:rsidP="007847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2030.310  Applicability</w:t>
      </w:r>
      <w:r>
        <w:t xml:space="preserve"> </w:t>
      </w:r>
    </w:p>
    <w:p w:rsidR="00784715" w:rsidRDefault="00784715" w:rsidP="00784715">
      <w:pPr>
        <w:widowControl w:val="0"/>
        <w:autoSpaceDE w:val="0"/>
        <w:autoSpaceDN w:val="0"/>
        <w:adjustRightInd w:val="0"/>
      </w:pPr>
    </w:p>
    <w:p w:rsidR="00784715" w:rsidRDefault="00784715" w:rsidP="00784715">
      <w:pPr>
        <w:widowControl w:val="0"/>
        <w:autoSpaceDE w:val="0"/>
        <w:autoSpaceDN w:val="0"/>
        <w:adjustRightInd w:val="0"/>
      </w:pPr>
      <w:r>
        <w:t xml:space="preserve">Principles for allowability/non-allowability of costs set forth herein are the same for grant-in-aid and other award expenses, and for the purpose of rate setting in fee-for-service awards. In grant-in-aid and non-fee-for-service awards, allowable costs set forth herein shall be approved in the provider budget or allocation plan.  In fee-for-service awards, rate calculations shall be based on allowable costs as set forth herein. </w:t>
      </w:r>
    </w:p>
    <w:sectPr w:rsidR="00784715" w:rsidSect="007847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715"/>
    <w:rsid w:val="00462B28"/>
    <w:rsid w:val="005C3366"/>
    <w:rsid w:val="00784715"/>
    <w:rsid w:val="00BE3A08"/>
    <w:rsid w:val="00E2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