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9B" w:rsidRDefault="00D51B9B" w:rsidP="00D51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B9B" w:rsidRDefault="00D51B9B" w:rsidP="00D51B9B">
      <w:pPr>
        <w:widowControl w:val="0"/>
        <w:autoSpaceDE w:val="0"/>
        <w:autoSpaceDN w:val="0"/>
        <w:adjustRightInd w:val="0"/>
        <w:jc w:val="center"/>
      </w:pPr>
      <w:r>
        <w:t>SUBPART T:  CRITERIA AND STANDARDS--ALCOHOLISM TREATMENT SERVICES</w:t>
      </w:r>
    </w:p>
    <w:sectPr w:rsidR="00D51B9B" w:rsidSect="00D51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B9B"/>
    <w:rsid w:val="005C3366"/>
    <w:rsid w:val="008434F3"/>
    <w:rsid w:val="00A01978"/>
    <w:rsid w:val="00C55A58"/>
    <w:rsid w:val="00D5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CRITERIA AND STANDARDS--ALCOHOLISM TREATMENT SERVICES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CRITERIA AND STANDARDS--ALCOHOLISM TREATMENT SERVICES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