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0D" w:rsidRDefault="00F70F0D" w:rsidP="00F70F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F0D" w:rsidRDefault="00F70F0D" w:rsidP="00F70F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1250.1220  Relationship to HSP and AIP of Health Systems Agency</w:t>
      </w:r>
      <w:r>
        <w:t xml:space="preserve"> </w:t>
      </w:r>
    </w:p>
    <w:p w:rsidR="00F70F0D" w:rsidRDefault="00F70F0D" w:rsidP="00F70F0D">
      <w:pPr>
        <w:widowControl w:val="0"/>
        <w:autoSpaceDE w:val="0"/>
        <w:autoSpaceDN w:val="0"/>
        <w:adjustRightInd w:val="0"/>
      </w:pPr>
    </w:p>
    <w:p w:rsidR="00F70F0D" w:rsidRDefault="00F70F0D" w:rsidP="00F70F0D">
      <w:pPr>
        <w:widowControl w:val="0"/>
        <w:autoSpaceDE w:val="0"/>
        <w:autoSpaceDN w:val="0"/>
        <w:adjustRightInd w:val="0"/>
      </w:pPr>
      <w:r>
        <w:t xml:space="preserve">If the State Board makes a finding regarding an existing institutional health service which is not consistent with the goals of a the applicable health systems plan (HSP) or the priorities of the applicable annual implementation plan (AIP) the State Agency shall submit to the appropriate health systems agency a detailed statement of the reasons for the inconsistency. </w:t>
      </w:r>
    </w:p>
    <w:sectPr w:rsidR="00F70F0D" w:rsidSect="00F70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F0D"/>
    <w:rsid w:val="000833B5"/>
    <w:rsid w:val="004973AD"/>
    <w:rsid w:val="005C3366"/>
    <w:rsid w:val="00B74BB4"/>
    <w:rsid w:val="00F7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