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0FC3B" w14:textId="77777777" w:rsidR="00651C30" w:rsidRDefault="00651C30" w:rsidP="00CC05D4">
      <w:pPr>
        <w:widowControl w:val="0"/>
        <w:autoSpaceDE w:val="0"/>
        <w:autoSpaceDN w:val="0"/>
        <w:adjustRightInd w:val="0"/>
      </w:pPr>
    </w:p>
    <w:p w14:paraId="52895BEB" w14:textId="77777777" w:rsidR="00651C30" w:rsidRDefault="00651C30" w:rsidP="00CC05D4">
      <w:pPr>
        <w:widowControl w:val="0"/>
        <w:autoSpaceDE w:val="0"/>
        <w:autoSpaceDN w:val="0"/>
        <w:adjustRightInd w:val="0"/>
      </w:pPr>
      <w:r>
        <w:rPr>
          <w:b/>
          <w:bCs/>
        </w:rPr>
        <w:t>Section 1130.570  Validity of an Exemption</w:t>
      </w:r>
      <w:r>
        <w:t xml:space="preserve"> </w:t>
      </w:r>
      <w:r w:rsidR="00CC05D4" w:rsidRPr="00386509">
        <w:rPr>
          <w:b/>
          <w:bCs/>
        </w:rPr>
        <w:t>and Reporting Requirements</w:t>
      </w:r>
    </w:p>
    <w:p w14:paraId="7A982334" w14:textId="77777777" w:rsidR="00651C30" w:rsidRDefault="00651C30" w:rsidP="00CC05D4">
      <w:pPr>
        <w:widowControl w:val="0"/>
        <w:autoSpaceDE w:val="0"/>
        <w:autoSpaceDN w:val="0"/>
        <w:adjustRightInd w:val="0"/>
      </w:pPr>
    </w:p>
    <w:p w14:paraId="398B841E" w14:textId="77777777" w:rsidR="00651C30" w:rsidRDefault="00651C30" w:rsidP="00CC05D4">
      <w:pPr>
        <w:widowControl w:val="0"/>
        <w:autoSpaceDE w:val="0"/>
        <w:autoSpaceDN w:val="0"/>
        <w:adjustRightInd w:val="0"/>
        <w:ind w:left="1440" w:hanging="720"/>
        <w:rPr>
          <w:strike/>
        </w:rPr>
      </w:pPr>
      <w:r>
        <w:t>a)</w:t>
      </w:r>
      <w:r>
        <w:tab/>
      </w:r>
      <w:r w:rsidR="00E314C6">
        <w:t xml:space="preserve">A project that has received an exemption </w:t>
      </w:r>
      <w:r w:rsidR="00332E1C">
        <w:t>shall</w:t>
      </w:r>
      <w:r w:rsidR="00E314C6">
        <w:t xml:space="preserve"> be completed </w:t>
      </w:r>
      <w:r w:rsidR="00332E1C">
        <w:t xml:space="preserve">on or before the completion date approved by </w:t>
      </w:r>
      <w:proofErr w:type="spellStart"/>
      <w:r w:rsidR="00332E1C">
        <w:t>HFSRB</w:t>
      </w:r>
      <w:proofErr w:type="spellEnd"/>
      <w:r w:rsidR="00332E1C">
        <w:t xml:space="preserve"> or mandated by </w:t>
      </w:r>
      <w:r w:rsidR="004B540A">
        <w:t xml:space="preserve">the </w:t>
      </w:r>
      <w:r w:rsidR="00332E1C">
        <w:t>Act and</w:t>
      </w:r>
      <w:r w:rsidR="00166DC6">
        <w:t xml:space="preserve"> this Part</w:t>
      </w:r>
      <w:r w:rsidR="00332E1C">
        <w:t>.</w:t>
      </w:r>
      <w:r w:rsidR="00CC05D4" w:rsidRPr="00386509">
        <w:t xml:space="preserve">  An exemption shall be valid through completion provided the requirements of this Section are met.</w:t>
      </w:r>
      <w:r>
        <w:rPr>
          <w:strike/>
        </w:rPr>
        <w:t xml:space="preserve"> </w:t>
      </w:r>
    </w:p>
    <w:p w14:paraId="3858410D" w14:textId="77777777" w:rsidR="00922885" w:rsidRDefault="00922885" w:rsidP="002C0CFC">
      <w:pPr>
        <w:widowControl w:val="0"/>
        <w:autoSpaceDE w:val="0"/>
        <w:autoSpaceDN w:val="0"/>
        <w:adjustRightInd w:val="0"/>
      </w:pPr>
    </w:p>
    <w:p w14:paraId="2CC45482" w14:textId="77777777" w:rsidR="00CC05D4" w:rsidRPr="000E45CE" w:rsidRDefault="00651C30" w:rsidP="00CC05D4">
      <w:pPr>
        <w:widowControl w:val="0"/>
        <w:autoSpaceDE w:val="0"/>
        <w:autoSpaceDN w:val="0"/>
        <w:adjustRightInd w:val="0"/>
        <w:ind w:firstLine="720"/>
      </w:pPr>
      <w:r>
        <w:t>b)</w:t>
      </w:r>
      <w:r>
        <w:tab/>
      </w:r>
      <w:r w:rsidR="00CC05D4" w:rsidRPr="000E45CE">
        <w:t xml:space="preserve">For purposes of this Section, "completion" </w:t>
      </w:r>
      <w:r w:rsidR="005D6544">
        <w:t xml:space="preserve">occurs on the </w:t>
      </w:r>
      <w:r w:rsidR="00332E1C">
        <w:t xml:space="preserve">following </w:t>
      </w:r>
      <w:r w:rsidR="005D6544">
        <w:t>date</w:t>
      </w:r>
      <w:r w:rsidR="00CC05D4" w:rsidRPr="000E45CE">
        <w:t xml:space="preserve">: </w:t>
      </w:r>
    </w:p>
    <w:p w14:paraId="02EACF54" w14:textId="77777777" w:rsidR="00922885" w:rsidRDefault="00922885" w:rsidP="002C0CFC">
      <w:pPr>
        <w:widowControl w:val="0"/>
        <w:autoSpaceDE w:val="0"/>
        <w:autoSpaceDN w:val="0"/>
        <w:adjustRightInd w:val="0"/>
      </w:pPr>
    </w:p>
    <w:p w14:paraId="052083AA" w14:textId="77777777" w:rsidR="00CC05D4" w:rsidRPr="000E45CE" w:rsidRDefault="00CC05D4" w:rsidP="00CC05D4">
      <w:pPr>
        <w:widowControl w:val="0"/>
        <w:autoSpaceDE w:val="0"/>
        <w:autoSpaceDN w:val="0"/>
        <w:adjustRightInd w:val="0"/>
        <w:ind w:left="2160" w:hanging="720"/>
      </w:pPr>
      <w:r w:rsidRPr="000E45CE">
        <w:t>1)</w:t>
      </w:r>
      <w:r w:rsidR="000E45CE" w:rsidRPr="000E45CE">
        <w:tab/>
      </w:r>
      <w:r w:rsidRPr="000E45CE">
        <w:t xml:space="preserve">for change of ownership of a health care facility, </w:t>
      </w:r>
      <w:r w:rsidR="00332E1C">
        <w:t xml:space="preserve">the date that </w:t>
      </w:r>
      <w:r w:rsidRPr="000E45CE">
        <w:t xml:space="preserve">a new license has been issued (or, if licensing is not applicable, </w:t>
      </w:r>
      <w:r w:rsidR="005D6544">
        <w:t xml:space="preserve">Medicare and/or Medicaid </w:t>
      </w:r>
      <w:r w:rsidRPr="000E45CE">
        <w:t xml:space="preserve">certification has been obtained), or a stock transfer has been accomplished, or a majority change in voting membership or sponsorship of a not-for-profit corporation has been accomplished, or the transfer of assets has occurred, or the merger or consolidation has been accomplished, whichever is applicable; </w:t>
      </w:r>
    </w:p>
    <w:p w14:paraId="4B67C270" w14:textId="77777777" w:rsidR="00922885" w:rsidRDefault="00922885" w:rsidP="002C0CFC">
      <w:pPr>
        <w:widowControl w:val="0"/>
        <w:autoSpaceDE w:val="0"/>
        <w:autoSpaceDN w:val="0"/>
        <w:adjustRightInd w:val="0"/>
      </w:pPr>
    </w:p>
    <w:p w14:paraId="669B1D90" w14:textId="77777777" w:rsidR="00651C30" w:rsidRDefault="00332E1C" w:rsidP="00CC05D4">
      <w:pPr>
        <w:widowControl w:val="0"/>
        <w:autoSpaceDE w:val="0"/>
        <w:autoSpaceDN w:val="0"/>
        <w:adjustRightInd w:val="0"/>
        <w:ind w:left="2160" w:hanging="720"/>
      </w:pPr>
      <w:r>
        <w:t>2)</w:t>
      </w:r>
      <w:r w:rsidR="000E45CE">
        <w:tab/>
      </w:r>
      <w:r w:rsidR="00CC05D4" w:rsidRPr="000E45CE">
        <w:t xml:space="preserve">for </w:t>
      </w:r>
      <w:r w:rsidR="0081210F">
        <w:t>discontinuations, the date the entire health care facility or category of service ceases operation</w:t>
      </w:r>
      <w:r w:rsidR="00756DF2">
        <w:t xml:space="preserve">, such as when the facility stops providing </w:t>
      </w:r>
      <w:r w:rsidR="008B3937">
        <w:t xml:space="preserve">services </w:t>
      </w:r>
      <w:r w:rsidR="00756DF2">
        <w:t>to patients or surrenders its license to the Department.</w:t>
      </w:r>
    </w:p>
    <w:p w14:paraId="67CA1AE4" w14:textId="77777777" w:rsidR="00922885" w:rsidRDefault="00922885" w:rsidP="002C0CFC">
      <w:pPr>
        <w:widowControl w:val="0"/>
        <w:tabs>
          <w:tab w:val="left" w:pos="0"/>
          <w:tab w:val="left" w:pos="187"/>
        </w:tabs>
        <w:autoSpaceDE w:val="0"/>
        <w:autoSpaceDN w:val="0"/>
        <w:adjustRightInd w:val="0"/>
      </w:pPr>
    </w:p>
    <w:p w14:paraId="4F768727" w14:textId="77777777" w:rsidR="00CC05D4" w:rsidRPr="00386509" w:rsidRDefault="000E45CE" w:rsidP="000E45CE">
      <w:pPr>
        <w:widowControl w:val="0"/>
        <w:tabs>
          <w:tab w:val="left" w:pos="0"/>
          <w:tab w:val="left" w:pos="187"/>
        </w:tabs>
        <w:autoSpaceDE w:val="0"/>
        <w:autoSpaceDN w:val="0"/>
        <w:adjustRightInd w:val="0"/>
        <w:ind w:left="1440" w:hanging="720"/>
      </w:pPr>
      <w:r>
        <w:t>c)</w:t>
      </w:r>
      <w:r>
        <w:tab/>
      </w:r>
      <w:r w:rsidR="00CC05D4" w:rsidRPr="00386509">
        <w:t xml:space="preserve">The exemption holder shall provide </w:t>
      </w:r>
      <w:r w:rsidR="005D6544">
        <w:t xml:space="preserve">written notice and related documentation to </w:t>
      </w:r>
      <w:proofErr w:type="spellStart"/>
      <w:r w:rsidR="00332E1C">
        <w:t>HFSRB</w:t>
      </w:r>
      <w:proofErr w:type="spellEnd"/>
      <w:r w:rsidR="005D6544">
        <w:t xml:space="preserve"> of </w:t>
      </w:r>
      <w:r w:rsidR="00CC05D4" w:rsidRPr="00386509">
        <w:t xml:space="preserve">the following: </w:t>
      </w:r>
    </w:p>
    <w:p w14:paraId="112BB358" w14:textId="77777777" w:rsidR="00922885" w:rsidRPr="002C0CFC" w:rsidRDefault="00922885" w:rsidP="002C0CFC"/>
    <w:p w14:paraId="548BF815" w14:textId="77777777" w:rsidR="00CC05D4" w:rsidRPr="002C0CFC" w:rsidRDefault="00CC05D4" w:rsidP="002C0CFC">
      <w:pPr>
        <w:ind w:left="2160" w:hanging="720"/>
      </w:pPr>
      <w:r w:rsidRPr="002C0CFC">
        <w:t>1)</w:t>
      </w:r>
      <w:r w:rsidR="000E45CE" w:rsidRPr="002C0CFC">
        <w:tab/>
      </w:r>
      <w:r w:rsidR="0081210F" w:rsidRPr="002C0CFC">
        <w:t>for discontinuations, notice of</w:t>
      </w:r>
      <w:r w:rsidR="00071248" w:rsidRPr="002C0CFC">
        <w:t xml:space="preserve"> project completion </w:t>
      </w:r>
      <w:r w:rsidR="004A035F" w:rsidRPr="002C0CFC">
        <w:t xml:space="preserve">no later than </w:t>
      </w:r>
      <w:r w:rsidR="008B3937" w:rsidRPr="002C0CFC">
        <w:t>90</w:t>
      </w:r>
      <w:r w:rsidR="00071248" w:rsidRPr="002C0CFC">
        <w:t xml:space="preserve"> days </w:t>
      </w:r>
      <w:r w:rsidR="004A035F" w:rsidRPr="002C0CFC">
        <w:t xml:space="preserve">following </w:t>
      </w:r>
      <w:r w:rsidR="00071248" w:rsidRPr="002C0CFC">
        <w:t>the project completion date;</w:t>
      </w:r>
      <w:r w:rsidR="004A035F" w:rsidRPr="002C0CFC" w:rsidDel="005C1A10">
        <w:t xml:space="preserve"> </w:t>
      </w:r>
    </w:p>
    <w:p w14:paraId="18B9118D" w14:textId="77777777" w:rsidR="00922885" w:rsidRPr="002C0CFC" w:rsidRDefault="00922885" w:rsidP="002C0CFC"/>
    <w:p w14:paraId="0EE3127C" w14:textId="77777777" w:rsidR="0081210F" w:rsidRPr="002C0CFC" w:rsidRDefault="0081210F" w:rsidP="002C0CFC">
      <w:pPr>
        <w:ind w:left="2160" w:hanging="720"/>
      </w:pPr>
      <w:r w:rsidRPr="002C0CFC">
        <w:t>2)</w:t>
      </w:r>
      <w:r w:rsidRPr="002C0CFC">
        <w:tab/>
        <w:t>for change</w:t>
      </w:r>
      <w:r w:rsidR="003E390C" w:rsidRPr="002C0CFC">
        <w:t>s of ownership</w:t>
      </w:r>
      <w:r w:rsidR="008B3937" w:rsidRPr="002C0CFC">
        <w:t xml:space="preserve"> in which the applicant submitted key terms of the transaction</w:t>
      </w:r>
      <w:r w:rsidRPr="002C0CFC">
        <w:t xml:space="preserve">, certification that the transaction was or was not completed according to the key terms contained in the application.  The </w:t>
      </w:r>
      <w:r w:rsidR="0018174F" w:rsidRPr="002C0CFC">
        <w:t xml:space="preserve">exemption holder </w:t>
      </w:r>
      <w:r w:rsidRPr="002C0CFC">
        <w:t xml:space="preserve">must </w:t>
      </w:r>
      <w:r w:rsidR="004B684C" w:rsidRPr="002C0CFC">
        <w:t xml:space="preserve">submit </w:t>
      </w:r>
      <w:r w:rsidRPr="002C0CFC">
        <w:t xml:space="preserve">the certification within 90 days </w:t>
      </w:r>
      <w:r w:rsidR="003E390C" w:rsidRPr="002C0CFC">
        <w:t>after</w:t>
      </w:r>
      <w:r w:rsidRPr="002C0CFC">
        <w:t xml:space="preserve"> the closing date of the transaction</w:t>
      </w:r>
      <w:r w:rsidR="003E390C" w:rsidRPr="002C0CFC">
        <w:t>; and</w:t>
      </w:r>
    </w:p>
    <w:p w14:paraId="3848E4BB" w14:textId="77777777" w:rsidR="0081210F" w:rsidRPr="002C0CFC" w:rsidRDefault="0081210F" w:rsidP="002C0CFC"/>
    <w:p w14:paraId="5F7BB0EC" w14:textId="77777777" w:rsidR="00651C30" w:rsidRPr="002C0CFC" w:rsidRDefault="0081210F" w:rsidP="002C0CFC">
      <w:pPr>
        <w:ind w:left="2160" w:hanging="720"/>
      </w:pPr>
      <w:r w:rsidRPr="002C0CFC">
        <w:t>3</w:t>
      </w:r>
      <w:r w:rsidR="00CC05D4" w:rsidRPr="002C0CFC">
        <w:t>)</w:t>
      </w:r>
      <w:r w:rsidR="000E45CE" w:rsidRPr="002C0CFC">
        <w:tab/>
      </w:r>
      <w:r w:rsidR="003E390C" w:rsidRPr="002C0CFC">
        <w:t xml:space="preserve">for </w:t>
      </w:r>
      <w:r w:rsidR="00BE43FB" w:rsidRPr="002C0CFC">
        <w:t>change</w:t>
      </w:r>
      <w:r w:rsidR="00230DB4" w:rsidRPr="002C0CFC">
        <w:t>s of ownership in which</w:t>
      </w:r>
      <w:r w:rsidR="00BE43FB" w:rsidRPr="002C0CFC">
        <w:t xml:space="preserve"> the applicant submitted the final transaction documents, </w:t>
      </w:r>
      <w:r w:rsidRPr="002C0CFC">
        <w:t>notice of project completion</w:t>
      </w:r>
      <w:r w:rsidR="003E390C" w:rsidRPr="002C0CFC">
        <w:t>,</w:t>
      </w:r>
      <w:r w:rsidRPr="002C0CFC">
        <w:t xml:space="preserve"> no later 90 days after the </w:t>
      </w:r>
      <w:r w:rsidR="00BE43FB" w:rsidRPr="002C0CFC">
        <w:t>change of ownership</w:t>
      </w:r>
      <w:r w:rsidRPr="002C0CFC">
        <w:t>.</w:t>
      </w:r>
      <w:r w:rsidR="00651C30" w:rsidRPr="002C0CFC">
        <w:t xml:space="preserve"> </w:t>
      </w:r>
    </w:p>
    <w:p w14:paraId="273F4985" w14:textId="77777777" w:rsidR="00922885" w:rsidRPr="00F27AF0" w:rsidRDefault="00922885" w:rsidP="002C0CFC"/>
    <w:p w14:paraId="41F4297D" w14:textId="77777777" w:rsidR="00651C30" w:rsidRPr="002C0CFC" w:rsidRDefault="00CC05D4" w:rsidP="002C0CFC">
      <w:pPr>
        <w:ind w:left="1440" w:hanging="720"/>
      </w:pPr>
      <w:r w:rsidRPr="002C0CFC">
        <w:t>d)</w:t>
      </w:r>
      <w:r w:rsidRPr="002C0CFC">
        <w:tab/>
        <w:t>An exemption for a change of ownership of a health care facility shall be invalid if the health care facility ceases to be an existing health care facility.</w:t>
      </w:r>
      <w:r w:rsidR="00651C30" w:rsidRPr="002C0CFC">
        <w:t xml:space="preserve"> </w:t>
      </w:r>
    </w:p>
    <w:p w14:paraId="4EE886C3" w14:textId="77777777" w:rsidR="00922885" w:rsidRPr="002C0CFC" w:rsidRDefault="00922885" w:rsidP="002C0CFC"/>
    <w:p w14:paraId="4986C553" w14:textId="07A65BE5" w:rsidR="0081210F" w:rsidRPr="002C0CFC" w:rsidRDefault="00332E1C" w:rsidP="002C0CFC">
      <w:pPr>
        <w:ind w:left="1440" w:hanging="720"/>
      </w:pPr>
      <w:r w:rsidRPr="002C0CFC">
        <w:t>e)</w:t>
      </w:r>
      <w:r w:rsidRPr="002C0CFC">
        <w:tab/>
      </w:r>
      <w:r w:rsidR="008B3937" w:rsidRPr="00F27AF0">
        <w:t>Whe</w:t>
      </w:r>
      <w:r w:rsidR="004B684C" w:rsidRPr="00F27AF0">
        <w:t>n</w:t>
      </w:r>
      <w:r w:rsidR="008B3937" w:rsidRPr="00F27AF0">
        <w:t xml:space="preserve"> an applicant has submitted key terms of the transaction rather than final transaction documents</w:t>
      </w:r>
      <w:r w:rsidR="00D57EB9" w:rsidRPr="00F27AF0">
        <w:t xml:space="preserve">, </w:t>
      </w:r>
      <w:r w:rsidR="008B3937" w:rsidRPr="00F27AF0">
        <w:t>an</w:t>
      </w:r>
      <w:r w:rsidR="0081210F" w:rsidRPr="00F27AF0">
        <w:t xml:space="preserve"> </w:t>
      </w:r>
      <w:r w:rsidR="0081210F" w:rsidRPr="00F27AF0">
        <w:rPr>
          <w:i/>
          <w:iCs/>
        </w:rPr>
        <w:t xml:space="preserve">exemption for </w:t>
      </w:r>
      <w:r w:rsidR="00BE43FB" w:rsidRPr="00F27AF0">
        <w:rPr>
          <w:i/>
          <w:iCs/>
        </w:rPr>
        <w:t xml:space="preserve">a </w:t>
      </w:r>
      <w:r w:rsidR="0081210F" w:rsidRPr="00F27AF0">
        <w:rPr>
          <w:i/>
          <w:iCs/>
        </w:rPr>
        <w:t>change of ownership</w:t>
      </w:r>
      <w:r w:rsidR="0081210F" w:rsidRPr="00F27AF0">
        <w:t xml:space="preserve"> of </w:t>
      </w:r>
      <w:r w:rsidR="00BE43FB" w:rsidRPr="00F27AF0">
        <w:t xml:space="preserve">a </w:t>
      </w:r>
      <w:r w:rsidR="0081210F" w:rsidRPr="00F27AF0">
        <w:t xml:space="preserve">health care facility shall be invalid if the exemption holder fails to </w:t>
      </w:r>
      <w:r w:rsidR="0081210F" w:rsidRPr="00F27AF0">
        <w:rPr>
          <w:i/>
          <w:iCs/>
        </w:rPr>
        <w:t xml:space="preserve">submit a statement to the Board within 90 days after the closing date of the transaction, or such longer period as provided by the Board, certifying that the change of ownership has been </w:t>
      </w:r>
      <w:r w:rsidR="0081210F" w:rsidRPr="00F27AF0">
        <w:rPr>
          <w:i/>
          <w:iCs/>
        </w:rPr>
        <w:lastRenderedPageBreak/>
        <w:t>completed in accordance with the key terms contained in the application. If such key terms of the transaction change, a new application is required</w:t>
      </w:r>
      <w:r w:rsidR="0081210F" w:rsidRPr="00F27AF0">
        <w:t>.</w:t>
      </w:r>
      <w:r w:rsidR="00DF20F5" w:rsidRPr="00F27AF0">
        <w:t xml:space="preserve"> [20 </w:t>
      </w:r>
      <w:proofErr w:type="spellStart"/>
      <w:r w:rsidR="00DF20F5" w:rsidRPr="00F27AF0">
        <w:t>ILCS</w:t>
      </w:r>
      <w:proofErr w:type="spellEnd"/>
      <w:r w:rsidR="00DF20F5" w:rsidRPr="00F27AF0">
        <w:t xml:space="preserve"> 3960/8.5</w:t>
      </w:r>
      <w:r w:rsidR="00230DB4" w:rsidRPr="00F27AF0">
        <w:t>(a)</w:t>
      </w:r>
      <w:r w:rsidR="00DF20F5" w:rsidRPr="00F27AF0">
        <w:t>]</w:t>
      </w:r>
    </w:p>
    <w:p w14:paraId="524CDCDD" w14:textId="77777777" w:rsidR="0081210F" w:rsidRPr="002C0CFC" w:rsidRDefault="0081210F" w:rsidP="002C0CFC"/>
    <w:p w14:paraId="69C1F0B6" w14:textId="77777777" w:rsidR="00332E1C" w:rsidRPr="002C0CFC" w:rsidRDefault="004D0F66" w:rsidP="002C0CFC">
      <w:pPr>
        <w:ind w:left="1440" w:hanging="720"/>
      </w:pPr>
      <w:r w:rsidRPr="002C0CFC">
        <w:t>f)</w:t>
      </w:r>
      <w:r w:rsidRPr="002C0CFC">
        <w:tab/>
      </w:r>
      <w:proofErr w:type="gramStart"/>
      <w:r w:rsidR="00332E1C" w:rsidRPr="002C0CFC">
        <w:t>Other</w:t>
      </w:r>
      <w:proofErr w:type="gramEnd"/>
      <w:r w:rsidR="00332E1C" w:rsidRPr="002C0CFC">
        <w:t xml:space="preserve"> events causing an exemption to become invalid include:</w:t>
      </w:r>
    </w:p>
    <w:p w14:paraId="503C5B92" w14:textId="77777777" w:rsidR="00332E1C" w:rsidRPr="002C0CFC" w:rsidRDefault="00332E1C" w:rsidP="002C0CFC"/>
    <w:p w14:paraId="3691C7A2" w14:textId="77777777" w:rsidR="00332E1C" w:rsidRPr="00435570" w:rsidRDefault="00332E1C" w:rsidP="00332E1C">
      <w:pPr>
        <w:ind w:left="1440"/>
      </w:pPr>
      <w:r w:rsidRPr="00435570">
        <w:t>1)</w:t>
      </w:r>
      <w:r>
        <w:tab/>
      </w:r>
      <w:r w:rsidRPr="00435570">
        <w:t>Change of permit (see Section 1130.710(c));</w:t>
      </w:r>
    </w:p>
    <w:p w14:paraId="11A4524B" w14:textId="77777777" w:rsidR="00332E1C" w:rsidRPr="00435570" w:rsidRDefault="00332E1C" w:rsidP="002C0CFC"/>
    <w:p w14:paraId="67F5C2D0" w14:textId="77777777" w:rsidR="00332E1C" w:rsidRPr="00435570" w:rsidRDefault="00332E1C" w:rsidP="00332E1C">
      <w:pPr>
        <w:ind w:left="2160" w:hanging="720"/>
      </w:pPr>
      <w:r w:rsidRPr="00435570">
        <w:t>2)</w:t>
      </w:r>
      <w:r>
        <w:tab/>
      </w:r>
      <w:r w:rsidRPr="00435570">
        <w:t xml:space="preserve">Failure to submit the Expenditure Commitment or </w:t>
      </w:r>
      <w:r w:rsidR="004D0F66">
        <w:t>Financial Commitment</w:t>
      </w:r>
      <w:r w:rsidRPr="00435570">
        <w:t xml:space="preserve"> Report, which should be included with the annual progress reports; </w:t>
      </w:r>
    </w:p>
    <w:p w14:paraId="5A3F8EE9" w14:textId="77777777" w:rsidR="00332E1C" w:rsidRPr="00435570" w:rsidRDefault="00332E1C" w:rsidP="002C0CFC"/>
    <w:p w14:paraId="535A6952" w14:textId="77777777" w:rsidR="00332E1C" w:rsidRPr="00435570" w:rsidRDefault="00332E1C" w:rsidP="00332E1C">
      <w:pPr>
        <w:ind w:left="1440"/>
      </w:pPr>
      <w:r w:rsidRPr="00435570">
        <w:t>3)</w:t>
      </w:r>
      <w:r>
        <w:tab/>
      </w:r>
      <w:r w:rsidRPr="00435570">
        <w:t xml:space="preserve">Failure to submit </w:t>
      </w:r>
      <w:r w:rsidR="00B53D45">
        <w:t>a</w:t>
      </w:r>
      <w:r w:rsidRPr="00435570">
        <w:t xml:space="preserve">nnual </w:t>
      </w:r>
      <w:r w:rsidR="00B53D45">
        <w:t>p</w:t>
      </w:r>
      <w:r w:rsidRPr="00435570">
        <w:t xml:space="preserve">rogress </w:t>
      </w:r>
      <w:r w:rsidR="00B53D45">
        <w:t>r</w:t>
      </w:r>
      <w:r w:rsidRPr="00435570">
        <w:t xml:space="preserve">eports </w:t>
      </w:r>
      <w:r w:rsidR="00B53D45">
        <w:t>to</w:t>
      </w:r>
      <w:r w:rsidR="004B540A">
        <w:t xml:space="preserve"> </w:t>
      </w:r>
      <w:proofErr w:type="spellStart"/>
      <w:r w:rsidR="00B53D45">
        <w:t>H</w:t>
      </w:r>
      <w:r w:rsidR="004B540A">
        <w:t>FSRB</w:t>
      </w:r>
      <w:proofErr w:type="spellEnd"/>
      <w:r w:rsidRPr="00435570">
        <w:t>;</w:t>
      </w:r>
    </w:p>
    <w:p w14:paraId="4E873F1D" w14:textId="77777777" w:rsidR="00332E1C" w:rsidRPr="00435570" w:rsidRDefault="00332E1C" w:rsidP="002C0CFC"/>
    <w:p w14:paraId="358D0A96" w14:textId="77777777" w:rsidR="00332E1C" w:rsidRPr="00435570" w:rsidRDefault="00332E1C" w:rsidP="00332E1C">
      <w:pPr>
        <w:ind w:left="1440"/>
      </w:pPr>
      <w:r w:rsidRPr="00435570">
        <w:t>4)</w:t>
      </w:r>
      <w:r>
        <w:tab/>
      </w:r>
      <w:r w:rsidRPr="00435570">
        <w:t xml:space="preserve">Failure to submit Final Cost Reports to </w:t>
      </w:r>
      <w:proofErr w:type="spellStart"/>
      <w:r w:rsidR="004B540A">
        <w:t>HFSRB</w:t>
      </w:r>
      <w:proofErr w:type="spellEnd"/>
      <w:r w:rsidRPr="00435570">
        <w:t>;</w:t>
      </w:r>
    </w:p>
    <w:p w14:paraId="7EDBE82B" w14:textId="77777777" w:rsidR="00332E1C" w:rsidRPr="00435570" w:rsidRDefault="00332E1C" w:rsidP="002C0CFC"/>
    <w:p w14:paraId="5566A4FE" w14:textId="77777777" w:rsidR="00332E1C" w:rsidRPr="00435570" w:rsidRDefault="00332E1C" w:rsidP="00332E1C">
      <w:pPr>
        <w:ind w:left="1440"/>
      </w:pPr>
      <w:r w:rsidRPr="00435570">
        <w:t>5)</w:t>
      </w:r>
      <w:r>
        <w:tab/>
      </w:r>
      <w:r w:rsidRPr="00435570">
        <w:t>Implementati</w:t>
      </w:r>
      <w:r w:rsidR="004B540A">
        <w:t>on of a prohibited alteration (s</w:t>
      </w:r>
      <w:r w:rsidRPr="00435570">
        <w:t>ee Section 1130.750(c)); and</w:t>
      </w:r>
    </w:p>
    <w:p w14:paraId="5DD4895A" w14:textId="77777777" w:rsidR="00332E1C" w:rsidRPr="00435570" w:rsidRDefault="00332E1C" w:rsidP="002C0CFC"/>
    <w:p w14:paraId="3DA61CCF" w14:textId="77777777" w:rsidR="00332E1C" w:rsidRPr="00435570" w:rsidRDefault="00332E1C" w:rsidP="00332E1C">
      <w:pPr>
        <w:ind w:left="1440"/>
      </w:pPr>
      <w:r w:rsidRPr="00435570">
        <w:t>6)</w:t>
      </w:r>
      <w:r>
        <w:tab/>
      </w:r>
      <w:r w:rsidRPr="00435570">
        <w:t>Relinquishment of an exemption without Board approval.</w:t>
      </w:r>
    </w:p>
    <w:p w14:paraId="28AC063F" w14:textId="77777777" w:rsidR="00332E1C" w:rsidRDefault="00332E1C" w:rsidP="002C0CFC">
      <w:pPr>
        <w:widowControl w:val="0"/>
        <w:autoSpaceDE w:val="0"/>
        <w:autoSpaceDN w:val="0"/>
        <w:adjustRightInd w:val="0"/>
      </w:pPr>
    </w:p>
    <w:p w14:paraId="6A785894" w14:textId="77777777" w:rsidR="00BC56E2" w:rsidRPr="000E45CE" w:rsidRDefault="004D0F66" w:rsidP="00332E1C">
      <w:pPr>
        <w:widowControl w:val="0"/>
        <w:autoSpaceDE w:val="0"/>
        <w:autoSpaceDN w:val="0"/>
        <w:adjustRightInd w:val="0"/>
        <w:ind w:left="1440" w:hanging="720"/>
      </w:pPr>
      <w:r>
        <w:t>g</w:t>
      </w:r>
      <w:r w:rsidR="00332E1C">
        <w:t>)</w:t>
      </w:r>
      <w:r w:rsidR="00651C30">
        <w:tab/>
      </w:r>
      <w:r w:rsidR="00332E1C" w:rsidRPr="00DA09B5">
        <w:rPr>
          <w:i/>
        </w:rPr>
        <w:t xml:space="preserve">The State Board may approve the transfer of an existing permit without regard to whether the permit to be transferred has yet been obligated, except for permits establishing a new facility or a new category of service. </w:t>
      </w:r>
      <w:r w:rsidR="00332E1C" w:rsidRPr="00DA09B5">
        <w:t xml:space="preserve">[20 </w:t>
      </w:r>
      <w:proofErr w:type="spellStart"/>
      <w:r w:rsidR="00332E1C" w:rsidRPr="00DA09B5">
        <w:t>ILCS</w:t>
      </w:r>
      <w:proofErr w:type="spellEnd"/>
      <w:r w:rsidR="00332E1C" w:rsidRPr="00DA09B5">
        <w:t xml:space="preserve"> 3960/6(b)]</w:t>
      </w:r>
      <w:r w:rsidR="00BC56E2" w:rsidRPr="000E45CE">
        <w:t xml:space="preserve"> </w:t>
      </w:r>
    </w:p>
    <w:p w14:paraId="25EB20BA" w14:textId="77777777" w:rsidR="00922885" w:rsidRDefault="00922885" w:rsidP="002C0CFC">
      <w:pPr>
        <w:widowControl w:val="0"/>
        <w:autoSpaceDE w:val="0"/>
        <w:autoSpaceDN w:val="0"/>
        <w:adjustRightInd w:val="0"/>
      </w:pPr>
    </w:p>
    <w:p w14:paraId="485335D1" w14:textId="77777777" w:rsidR="00BC56E2" w:rsidRDefault="004D0F66" w:rsidP="00BC56E2">
      <w:pPr>
        <w:widowControl w:val="0"/>
        <w:autoSpaceDE w:val="0"/>
        <w:autoSpaceDN w:val="0"/>
        <w:adjustRightInd w:val="0"/>
        <w:ind w:left="1440" w:hanging="720"/>
      </w:pPr>
      <w:r>
        <w:t>h</w:t>
      </w:r>
      <w:r w:rsidR="00332E1C">
        <w:t>)</w:t>
      </w:r>
      <w:r w:rsidR="000E45CE">
        <w:tab/>
      </w:r>
      <w:r w:rsidR="00BC56E2" w:rsidRPr="000E45CE">
        <w:t xml:space="preserve">Failure to comply with the requirements of this Section within the specified </w:t>
      </w:r>
      <w:r w:rsidR="00332E1C">
        <w:t xml:space="preserve">time frames </w:t>
      </w:r>
      <w:r w:rsidR="00BC56E2" w:rsidRPr="000E45CE">
        <w:t>shall subject the exemption holder to the sanctions and penalties provided by the Act</w:t>
      </w:r>
      <w:r w:rsidR="00332E1C">
        <w:t xml:space="preserve"> </w:t>
      </w:r>
      <w:r w:rsidR="004B540A">
        <w:t xml:space="preserve">(see 20 </w:t>
      </w:r>
      <w:proofErr w:type="spellStart"/>
      <w:r w:rsidR="004B540A">
        <w:t>ILCS</w:t>
      </w:r>
      <w:proofErr w:type="spellEnd"/>
      <w:r w:rsidR="004B540A">
        <w:t xml:space="preserve"> 3960/14.1) </w:t>
      </w:r>
      <w:r w:rsidR="00332E1C">
        <w:t>and Section 1130.790</w:t>
      </w:r>
      <w:r w:rsidR="00BC56E2" w:rsidRPr="000E45CE">
        <w:t xml:space="preserve">. </w:t>
      </w:r>
    </w:p>
    <w:p w14:paraId="3B44803F" w14:textId="77777777" w:rsidR="005C1A10" w:rsidRPr="000E45CE" w:rsidRDefault="005C1A10" w:rsidP="002C0CFC">
      <w:pPr>
        <w:widowControl w:val="0"/>
        <w:autoSpaceDE w:val="0"/>
        <w:autoSpaceDN w:val="0"/>
        <w:adjustRightInd w:val="0"/>
      </w:pPr>
    </w:p>
    <w:p w14:paraId="4DF8CB40" w14:textId="77777777" w:rsidR="00651C30" w:rsidRDefault="00332E1C" w:rsidP="00877E19">
      <w:pPr>
        <w:widowControl w:val="0"/>
        <w:autoSpaceDE w:val="0"/>
        <w:autoSpaceDN w:val="0"/>
        <w:adjustRightInd w:val="0"/>
        <w:ind w:left="720"/>
      </w:pPr>
      <w:proofErr w:type="spellStart"/>
      <w:r>
        <w:t>HFSRB</w:t>
      </w:r>
      <w:proofErr w:type="spellEnd"/>
      <w:r w:rsidR="00651C30" w:rsidRPr="00386509">
        <w:t xml:space="preserve"> </w:t>
      </w:r>
      <w:r w:rsidR="00651C30">
        <w:t xml:space="preserve">NOTE:  See Section 1130.520 regarding changes of ownership for facilities with outstanding permits. </w:t>
      </w:r>
    </w:p>
    <w:p w14:paraId="5C9A3256" w14:textId="77777777" w:rsidR="00651C30" w:rsidRDefault="00651C30" w:rsidP="00CC05D4">
      <w:pPr>
        <w:widowControl w:val="0"/>
        <w:autoSpaceDE w:val="0"/>
        <w:autoSpaceDN w:val="0"/>
        <w:adjustRightInd w:val="0"/>
      </w:pPr>
    </w:p>
    <w:p w14:paraId="2289F026" w14:textId="77777777" w:rsidR="00510A83" w:rsidRPr="00D55B37" w:rsidRDefault="004D0F66">
      <w:pPr>
        <w:pStyle w:val="JCARSourceNote"/>
        <w:ind w:left="720"/>
      </w:pPr>
      <w:r>
        <w:t xml:space="preserve">(Source:  Amended at 40 Ill. Reg. </w:t>
      </w:r>
      <w:r w:rsidR="00C2087A">
        <w:t>14647, effective October 14, 2016</w:t>
      </w:r>
      <w:r w:rsidR="00120785">
        <w:t>)</w:t>
      </w:r>
    </w:p>
    <w:sectPr w:rsidR="00510A83" w:rsidRPr="00D55B37" w:rsidSect="00CC05D4">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0539E"/>
    <w:multiLevelType w:val="hybridMultilevel"/>
    <w:tmpl w:val="D8E0CBAA"/>
    <w:lvl w:ilvl="0" w:tplc="B1F23C7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D709A"/>
    <w:multiLevelType w:val="hybridMultilevel"/>
    <w:tmpl w:val="D370EF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51C30"/>
    <w:rsid w:val="00071248"/>
    <w:rsid w:val="000A221B"/>
    <w:rsid w:val="000E45CE"/>
    <w:rsid w:val="00120785"/>
    <w:rsid w:val="00156157"/>
    <w:rsid w:val="00166DC6"/>
    <w:rsid w:val="0018174F"/>
    <w:rsid w:val="001B017F"/>
    <w:rsid w:val="00230DB4"/>
    <w:rsid w:val="00241071"/>
    <w:rsid w:val="002427B2"/>
    <w:rsid w:val="002C0CFC"/>
    <w:rsid w:val="00332E1C"/>
    <w:rsid w:val="00386509"/>
    <w:rsid w:val="003E390C"/>
    <w:rsid w:val="004525E8"/>
    <w:rsid w:val="00454670"/>
    <w:rsid w:val="004A035F"/>
    <w:rsid w:val="004B540A"/>
    <w:rsid w:val="004B684C"/>
    <w:rsid w:val="004D0F66"/>
    <w:rsid w:val="00510A83"/>
    <w:rsid w:val="005C1A10"/>
    <w:rsid w:val="005D6544"/>
    <w:rsid w:val="006020A9"/>
    <w:rsid w:val="00651C30"/>
    <w:rsid w:val="006863E3"/>
    <w:rsid w:val="00756DF2"/>
    <w:rsid w:val="0081210F"/>
    <w:rsid w:val="00877E19"/>
    <w:rsid w:val="008B3937"/>
    <w:rsid w:val="009025C3"/>
    <w:rsid w:val="00922885"/>
    <w:rsid w:val="00971554"/>
    <w:rsid w:val="009D4139"/>
    <w:rsid w:val="00AB3470"/>
    <w:rsid w:val="00B53D45"/>
    <w:rsid w:val="00BC56E2"/>
    <w:rsid w:val="00BE43FB"/>
    <w:rsid w:val="00C2087A"/>
    <w:rsid w:val="00CC05D4"/>
    <w:rsid w:val="00D559B2"/>
    <w:rsid w:val="00D57EB9"/>
    <w:rsid w:val="00DA09B5"/>
    <w:rsid w:val="00DD711C"/>
    <w:rsid w:val="00DE1969"/>
    <w:rsid w:val="00DF20F5"/>
    <w:rsid w:val="00DF2F07"/>
    <w:rsid w:val="00E314C6"/>
    <w:rsid w:val="00EA58FE"/>
    <w:rsid w:val="00EC5376"/>
    <w:rsid w:val="00F27AF0"/>
    <w:rsid w:val="00F63AB8"/>
    <w:rsid w:val="00F739B6"/>
    <w:rsid w:val="00FA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A88A22"/>
  <w15:docId w15:val="{C25EE986-270E-4884-A2B3-78B2A6EE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C05D4"/>
  </w:style>
  <w:style w:type="paragraph" w:styleId="ListParagraph">
    <w:name w:val="List Paragraph"/>
    <w:basedOn w:val="Normal"/>
    <w:uiPriority w:val="34"/>
    <w:qFormat/>
    <w:rsid w:val="00812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MessingerRR</dc:creator>
  <cp:keywords/>
  <dc:description/>
  <cp:lastModifiedBy>Shipley, Melissa A.</cp:lastModifiedBy>
  <cp:revision>7</cp:revision>
  <dcterms:created xsi:type="dcterms:W3CDTF">2016-09-22T20:56:00Z</dcterms:created>
  <dcterms:modified xsi:type="dcterms:W3CDTF">2025-01-14T17:53:00Z</dcterms:modified>
</cp:coreProperties>
</file>