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E7" w:rsidRDefault="008D5EE7" w:rsidP="008D5E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EE7" w:rsidRPr="008A187B" w:rsidRDefault="008D5EE7" w:rsidP="008D5EE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1120.210  Financial Feasibility Review Criteria</w:t>
      </w:r>
      <w:r>
        <w:t xml:space="preserve"> </w:t>
      </w:r>
      <w:r w:rsidR="008A187B">
        <w:rPr>
          <w:b/>
        </w:rPr>
        <w:t>(Repealed)</w:t>
      </w:r>
    </w:p>
    <w:p w:rsidR="008D5EE7" w:rsidRDefault="008D5EE7" w:rsidP="008D5EE7">
      <w:pPr>
        <w:widowControl w:val="0"/>
        <w:autoSpaceDE w:val="0"/>
        <w:autoSpaceDN w:val="0"/>
        <w:adjustRightInd w:val="0"/>
        <w:ind w:left="1080" w:hanging="480"/>
      </w:pPr>
    </w:p>
    <w:p w:rsidR="008A187B" w:rsidRPr="00D55B37" w:rsidRDefault="008A187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C19B6">
        <w:t>4</w:t>
      </w:r>
      <w:r>
        <w:t xml:space="preserve"> </w:t>
      </w:r>
      <w:r w:rsidRPr="00D55B37">
        <w:t xml:space="preserve">Ill. Reg. </w:t>
      </w:r>
      <w:r w:rsidR="00F06E17">
        <w:t>6143</w:t>
      </w:r>
      <w:r w:rsidRPr="00D55B37">
        <w:t xml:space="preserve">, effective </w:t>
      </w:r>
      <w:r w:rsidR="00F06E17">
        <w:t>April 13, 2010</w:t>
      </w:r>
      <w:r w:rsidRPr="00D55B37">
        <w:t>)</w:t>
      </w:r>
    </w:p>
    <w:sectPr w:rsidR="008A187B" w:rsidRPr="00D55B37" w:rsidSect="008D5EE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EE7"/>
    <w:rsid w:val="00120497"/>
    <w:rsid w:val="00295D10"/>
    <w:rsid w:val="00380849"/>
    <w:rsid w:val="00425DB4"/>
    <w:rsid w:val="00672754"/>
    <w:rsid w:val="008A187B"/>
    <w:rsid w:val="008D5EE7"/>
    <w:rsid w:val="00CC19B6"/>
    <w:rsid w:val="00CE7A6B"/>
    <w:rsid w:val="00F06E17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1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ThomasVD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