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B6823" w14:textId="77777777" w:rsidR="00EE4CCB" w:rsidRDefault="00EE4CCB" w:rsidP="00210465"/>
    <w:p w14:paraId="4346ECFE" w14:textId="77777777" w:rsidR="00210465" w:rsidRPr="00EE4CCB" w:rsidRDefault="00EE4CCB" w:rsidP="00210465">
      <w:pPr>
        <w:rPr>
          <w:b/>
        </w:rPr>
      </w:pPr>
      <w:r>
        <w:rPr>
          <w:b/>
        </w:rPr>
        <w:t xml:space="preserve">Section  1010.30  </w:t>
      </w:r>
      <w:r w:rsidR="00210465" w:rsidRPr="00EE4CCB">
        <w:rPr>
          <w:b/>
        </w:rPr>
        <w:t>Incorporated and Referenced Materials</w:t>
      </w:r>
    </w:p>
    <w:p w14:paraId="12FEA3CB" w14:textId="77777777" w:rsidR="00210465" w:rsidRPr="00210465" w:rsidRDefault="00210465" w:rsidP="00210465"/>
    <w:p w14:paraId="4DDE5C37" w14:textId="77777777" w:rsidR="00210465" w:rsidRPr="00210465" w:rsidRDefault="00210465" w:rsidP="00210465">
      <w:r w:rsidRPr="00210465">
        <w:t>The following materials are incorporated or referenced in this Part:</w:t>
      </w:r>
    </w:p>
    <w:p w14:paraId="66849008" w14:textId="77777777" w:rsidR="00210465" w:rsidRPr="00210465" w:rsidRDefault="00210465" w:rsidP="00210465"/>
    <w:p w14:paraId="06966BE2" w14:textId="539828FF" w:rsidR="00210465" w:rsidRPr="00210465" w:rsidRDefault="00210465" w:rsidP="008B3057">
      <w:pPr>
        <w:ind w:firstLine="720"/>
      </w:pPr>
      <w:r w:rsidRPr="00210465">
        <w:t>a)</w:t>
      </w:r>
      <w:r w:rsidRPr="00210465">
        <w:tab/>
        <w:t xml:space="preserve">Federal </w:t>
      </w:r>
      <w:r w:rsidR="00F934C9">
        <w:t>R</w:t>
      </w:r>
      <w:r w:rsidRPr="00210465">
        <w:t>egulations</w:t>
      </w:r>
    </w:p>
    <w:p w14:paraId="53B582EF" w14:textId="77777777" w:rsidR="00210465" w:rsidRPr="00210465" w:rsidRDefault="00210465" w:rsidP="00210465"/>
    <w:p w14:paraId="756CEFC0" w14:textId="77777777" w:rsidR="00210465" w:rsidRPr="00210465" w:rsidRDefault="00210465" w:rsidP="004C2175">
      <w:pPr>
        <w:ind w:left="2160" w:hanging="720"/>
      </w:pPr>
      <w:r w:rsidRPr="00210465">
        <w:t>1)</w:t>
      </w:r>
      <w:r w:rsidRPr="00210465">
        <w:tab/>
        <w:t xml:space="preserve">Prospective Payment Systems for </w:t>
      </w:r>
      <w:smartTag w:uri="urn:schemas-microsoft-com:office:smarttags" w:element="place">
        <w:smartTag w:uri="urn:schemas-microsoft-com:office:smarttags" w:element="PlaceName">
          <w:r w:rsidRPr="00210465">
            <w:t>Inpatient</w:t>
          </w:r>
        </w:smartTag>
        <w:r w:rsidRPr="00210465">
          <w:t xml:space="preserve"> </w:t>
        </w:r>
        <w:smartTag w:uri="urn:schemas-microsoft-com:office:smarttags" w:element="PlaceType">
          <w:r w:rsidRPr="00210465">
            <w:t>Hospital</w:t>
          </w:r>
        </w:smartTag>
      </w:smartTag>
      <w:r w:rsidRPr="00210465">
        <w:t xml:space="preserve"> Services (42 CFR 412), October 1, 2005</w:t>
      </w:r>
    </w:p>
    <w:p w14:paraId="6F368C49" w14:textId="0F6995B5" w:rsidR="00210465" w:rsidRPr="00210465" w:rsidRDefault="00210465" w:rsidP="00210465"/>
    <w:p w14:paraId="1AB0D052" w14:textId="77777777" w:rsidR="00210465" w:rsidRPr="00210465" w:rsidRDefault="00210465" w:rsidP="004C2175">
      <w:pPr>
        <w:ind w:left="2160" w:hanging="720"/>
      </w:pPr>
      <w:r w:rsidRPr="00210465">
        <w:t>2)</w:t>
      </w:r>
      <w:r w:rsidRPr="00210465">
        <w:tab/>
        <w:t>Medical Facility Construction and Modernization (42 CFR 124), October 1, 2005</w:t>
      </w:r>
    </w:p>
    <w:p w14:paraId="0C34A0C0" w14:textId="77777777" w:rsidR="00210465" w:rsidRPr="00210465" w:rsidRDefault="00210465" w:rsidP="00210465"/>
    <w:p w14:paraId="5A0799C0" w14:textId="5A8A0D16" w:rsidR="00210465" w:rsidRDefault="00210465" w:rsidP="004C2175">
      <w:pPr>
        <w:ind w:left="720" w:firstLine="720"/>
      </w:pPr>
      <w:r w:rsidRPr="00210465">
        <w:t>3)</w:t>
      </w:r>
      <w:r w:rsidRPr="00210465">
        <w:tab/>
        <w:t>Security and Privacy (45 CFR 164), October 1, 2005</w:t>
      </w:r>
    </w:p>
    <w:p w14:paraId="7D24EB44" w14:textId="0C628D96" w:rsidR="0069322C" w:rsidRDefault="0069322C" w:rsidP="00B23021"/>
    <w:p w14:paraId="257D37A6" w14:textId="3FAA6EB7" w:rsidR="0069322C" w:rsidRDefault="0069322C" w:rsidP="0069322C">
      <w:pPr>
        <w:ind w:left="2160" w:hanging="720"/>
      </w:pPr>
      <w:r>
        <w:t>4)</w:t>
      </w:r>
      <w:r>
        <w:tab/>
        <w:t xml:space="preserve">Medicare and Medicaid Programs; Electronic Health Record Incentive Program, </w:t>
      </w:r>
      <w:r w:rsidR="006C7BDB">
        <w:t>Final Rule (</w:t>
      </w:r>
      <w:r>
        <w:t>75 FR 44313, July 28, 2010</w:t>
      </w:r>
      <w:r w:rsidR="006C7BDB">
        <w:t>)</w:t>
      </w:r>
      <w:r>
        <w:t xml:space="preserve"> available at:  https://www.federalregister.gov/documents/2010/07/28/2010-17207/medicare-and-medicaid-programs-electronic-health-record-incentive-program</w:t>
      </w:r>
    </w:p>
    <w:p w14:paraId="4FCCA1E3" w14:textId="77777777" w:rsidR="0069322C" w:rsidRDefault="0069322C" w:rsidP="00B23021"/>
    <w:p w14:paraId="786B5F59" w14:textId="746525DE" w:rsidR="0069322C" w:rsidRDefault="0069322C" w:rsidP="0069322C">
      <w:pPr>
        <w:ind w:left="2160" w:hanging="720"/>
      </w:pPr>
      <w:r>
        <w:t>5)</w:t>
      </w:r>
      <w:r>
        <w:tab/>
        <w:t xml:space="preserve">Medicare and Medicaid Programs; Electronic Health Record Incentive Program - Stage 2, (See Meaningful Use), </w:t>
      </w:r>
      <w:r w:rsidR="006C7BDB">
        <w:t>Final Rule (</w:t>
      </w:r>
      <w:r>
        <w:t>77 FR 53967, September 4, 2012</w:t>
      </w:r>
      <w:r w:rsidR="006C7BDB">
        <w:t>)</w:t>
      </w:r>
      <w:r>
        <w:t xml:space="preserve"> available at:  </w:t>
      </w:r>
      <w:r w:rsidRPr="008B3057">
        <w:t>https://www.federalregister.gov/documents/</w:t>
      </w:r>
      <w:r>
        <w:t xml:space="preserve"> 2012/09/04/2012-21050/medicare-and-medicaid-programs-electronic-health-record-incentive-program-stage-2</w:t>
      </w:r>
    </w:p>
    <w:p w14:paraId="4A35CA06" w14:textId="77777777" w:rsidR="0069322C" w:rsidRDefault="0069322C" w:rsidP="00B23021"/>
    <w:p w14:paraId="0C942937" w14:textId="4335DB6D" w:rsidR="0069322C" w:rsidRDefault="0069322C" w:rsidP="0069322C">
      <w:pPr>
        <w:ind w:left="2160" w:hanging="720"/>
      </w:pPr>
      <w:r>
        <w:t>6)</w:t>
      </w:r>
      <w:r>
        <w:tab/>
        <w:t xml:space="preserve">Medicare and Medicaid Programs; Patient Protection and Affordable Care Act; Interoperability and Patient Access for Medicare Advantage Organization and Medicaid Managed Care Plans, State Medicaid Agencies, CHIP Agencies and CHIP Managed Care Entities, Issuers of Qualified Health Plans on the Federally-Facilitated Exchanges, and Health Care Providers (See CMMS Interoperability rule; Admission, Discharge, and Transfer (ADT) at 25586-25603), </w:t>
      </w:r>
      <w:r w:rsidR="006C7BDB">
        <w:t>Final Rule (</w:t>
      </w:r>
      <w:r>
        <w:t>85 FR 25510, May 1, 2020</w:t>
      </w:r>
      <w:r w:rsidR="006C7BDB">
        <w:t>)</w:t>
      </w:r>
      <w:r>
        <w:t xml:space="preserve"> available at:  </w:t>
      </w:r>
      <w:r w:rsidRPr="008B3057">
        <w:t>https://www.federalregister.gov/documents/2020/05/01/</w:t>
      </w:r>
      <w:r>
        <w:t xml:space="preserve"> 2020-05050/medicare-and-medicaid-programs-patient-protection-and-affordable-care-act-interoperability-and</w:t>
      </w:r>
    </w:p>
    <w:p w14:paraId="2AFDDF13" w14:textId="77777777" w:rsidR="0069322C" w:rsidRDefault="0069322C" w:rsidP="00B23021"/>
    <w:p w14:paraId="6863A94D" w14:textId="7D8B0797" w:rsidR="0069322C" w:rsidRDefault="0069322C" w:rsidP="0069322C">
      <w:pPr>
        <w:ind w:left="2160" w:hanging="720"/>
      </w:pPr>
      <w:r>
        <w:t>7)</w:t>
      </w:r>
      <w:r>
        <w:tab/>
        <w:t xml:space="preserve">Health Information Technology: Initial Set of Standards, Implementation Specifications, and Certification Criteria for Electronic Health Record Technology, </w:t>
      </w:r>
      <w:r w:rsidR="006C7BDB">
        <w:t>Final Rule (</w:t>
      </w:r>
      <w:r>
        <w:t>75 FR 44589, July 28, 2010</w:t>
      </w:r>
      <w:r w:rsidR="006C7BDB">
        <w:t>)</w:t>
      </w:r>
      <w:r>
        <w:t xml:space="preserve"> available at:  </w:t>
      </w:r>
      <w:r w:rsidRPr="008B3057">
        <w:t>https://www</w:t>
      </w:r>
      <w:r>
        <w:t>.federalregister.gov/documents/2010/07/28/2010-17210/health-information-technology-initial-set-of-standards-implementation-specifications-and</w:t>
      </w:r>
    </w:p>
    <w:p w14:paraId="5262E12A" w14:textId="77777777" w:rsidR="0069322C" w:rsidRDefault="0069322C" w:rsidP="00B23021"/>
    <w:p w14:paraId="3BDE6CF6" w14:textId="02820EF7" w:rsidR="0069322C" w:rsidRPr="00210465" w:rsidRDefault="0069322C" w:rsidP="0069322C">
      <w:pPr>
        <w:ind w:left="2160" w:hanging="720"/>
      </w:pPr>
      <w:r>
        <w:t>8)</w:t>
      </w:r>
      <w:r>
        <w:tab/>
        <w:t xml:space="preserve">2014 Edition Release 2 Electronic Health Record (EHR) Certification Criteria and the ONC HIT Certification Program; Regulatory Flexibilities, Improvements, and Enhanced Health Information Exchange, </w:t>
      </w:r>
      <w:r w:rsidR="006C7BDB">
        <w:t>Final Rule (</w:t>
      </w:r>
      <w:r>
        <w:t>79 FR 54429, September 11, 2014</w:t>
      </w:r>
      <w:r w:rsidR="006C7BDB">
        <w:t>)</w:t>
      </w:r>
      <w:r>
        <w:t xml:space="preserve"> available at:  </w:t>
      </w:r>
      <w:r w:rsidRPr="008B3057">
        <w:t>https://www.federalregister.gov/</w:t>
      </w:r>
      <w:r>
        <w:t>documents/2014/09/11/2014-21633/2014-edition-release-2-electronic-health-record-ehr-certification-criteria-and-the-onc-hit</w:t>
      </w:r>
    </w:p>
    <w:p w14:paraId="70A236D6" w14:textId="77777777" w:rsidR="00210465" w:rsidRPr="00210465" w:rsidRDefault="00210465" w:rsidP="00210465"/>
    <w:p w14:paraId="1A1E92A6" w14:textId="77777777" w:rsidR="00210465" w:rsidRPr="00210465" w:rsidRDefault="00210465" w:rsidP="004C2175">
      <w:pPr>
        <w:ind w:firstLine="720"/>
      </w:pPr>
      <w:r w:rsidRPr="00210465">
        <w:t>b)</w:t>
      </w:r>
      <w:r w:rsidR="004C2175">
        <w:tab/>
      </w:r>
      <w:r w:rsidRPr="00210465">
        <w:t xml:space="preserve">Federal </w:t>
      </w:r>
      <w:r w:rsidR="00F934C9">
        <w:t>G</w:t>
      </w:r>
      <w:r w:rsidRPr="00210465">
        <w:t>uidelines</w:t>
      </w:r>
    </w:p>
    <w:p w14:paraId="21ECBB28" w14:textId="77777777" w:rsidR="00210465" w:rsidRPr="00210465" w:rsidRDefault="00210465" w:rsidP="00210465"/>
    <w:p w14:paraId="11D4A0A3" w14:textId="7251CBF6" w:rsidR="00210465" w:rsidRDefault="0069322C" w:rsidP="0069322C">
      <w:pPr>
        <w:ind w:left="2160" w:hanging="720"/>
      </w:pPr>
      <w:r>
        <w:t>1)</w:t>
      </w:r>
      <w:r>
        <w:tab/>
      </w:r>
      <w:r w:rsidR="004C2175">
        <w:t>"</w:t>
      </w:r>
      <w:r w:rsidR="00210465" w:rsidRPr="00210465">
        <w:t>Race and Ethnic Standards for Federal Statistics and Reporting</w:t>
      </w:r>
      <w:r w:rsidR="004C2175">
        <w:t>"</w:t>
      </w:r>
      <w:r w:rsidR="00F934C9">
        <w:t xml:space="preserve">, </w:t>
      </w:r>
      <w:r w:rsidR="00210465" w:rsidRPr="00210465">
        <w:t>Statistical Policy Directive Number 15, Federal Office of Management and Budget (OMB), October 30, 1997</w:t>
      </w:r>
    </w:p>
    <w:p w14:paraId="470A881D" w14:textId="7A14A22A" w:rsidR="0069322C" w:rsidRDefault="0069322C" w:rsidP="00B23021"/>
    <w:p w14:paraId="70C42FD4" w14:textId="0F59EABA" w:rsidR="0069322C" w:rsidRDefault="0069322C" w:rsidP="0069322C">
      <w:pPr>
        <w:ind w:left="2160" w:hanging="720"/>
      </w:pPr>
      <w:r>
        <w:t>2)</w:t>
      </w:r>
      <w:r>
        <w:tab/>
        <w:t xml:space="preserve">HL7 version 2.5.1. Implementation Guide: Syndromic Surveillance Release 1-US Realm, Standard for Trial </w:t>
      </w:r>
      <w:r w:rsidR="006C7BDB">
        <w:t>U</w:t>
      </w:r>
      <w:r>
        <w:t>se, July 2019. (http://www.hl7.org/)</w:t>
      </w:r>
    </w:p>
    <w:p w14:paraId="316BDB37" w14:textId="77777777" w:rsidR="0069322C" w:rsidRDefault="0069322C" w:rsidP="00B23021"/>
    <w:p w14:paraId="11C5A8EC" w14:textId="7FBB5C81" w:rsidR="0069322C" w:rsidRPr="003E4F17" w:rsidRDefault="0069322C" w:rsidP="0069322C">
      <w:pPr>
        <w:ind w:left="2160" w:hanging="720"/>
      </w:pPr>
      <w:r>
        <w:t>3)</w:t>
      </w:r>
      <w:r>
        <w:tab/>
      </w:r>
      <w:r w:rsidRPr="003E4F17">
        <w:t>Data Modernization Initiative available at:  https://www.cdc.gov/ surveillance /data-modernization/index.html?CDC_AA_refVal=https %3A%2F%2Fwww.cdc.gov%2Fsurveillance%2Fsurveillance-data-strategies%2Fdata-IT-transformation.html</w:t>
      </w:r>
    </w:p>
    <w:p w14:paraId="66EE1456" w14:textId="77777777" w:rsidR="0069322C" w:rsidRDefault="0069322C" w:rsidP="00B23021"/>
    <w:p w14:paraId="049E191A" w14:textId="774500D5" w:rsidR="0069322C" w:rsidRPr="00210465" w:rsidRDefault="0069322C" w:rsidP="0069322C">
      <w:pPr>
        <w:ind w:left="2160" w:hanging="720"/>
      </w:pPr>
      <w:r>
        <w:t>4)</w:t>
      </w:r>
      <w:r>
        <w:tab/>
        <w:t>NIST 2015 Edition ONC HealthIT Certification Test Tools available at:  https://www.nist.gov/itl/ssd/systems-interoperability-group/nist-2015-edition-onc-healthit-certification-test-tools</w:t>
      </w:r>
    </w:p>
    <w:p w14:paraId="25233C0C" w14:textId="77777777" w:rsidR="00210465" w:rsidRPr="00210465" w:rsidRDefault="00210465" w:rsidP="00210465"/>
    <w:p w14:paraId="53C35FFD" w14:textId="6FFCCE52" w:rsidR="00210465" w:rsidRPr="00210465" w:rsidRDefault="00210465" w:rsidP="008B3057">
      <w:pPr>
        <w:ind w:firstLine="720"/>
      </w:pPr>
      <w:r w:rsidRPr="00210465">
        <w:t>c)</w:t>
      </w:r>
      <w:r w:rsidRPr="00210465">
        <w:tab/>
        <w:t xml:space="preserve">Federal </w:t>
      </w:r>
      <w:r w:rsidR="00F934C9">
        <w:t>S</w:t>
      </w:r>
      <w:r w:rsidRPr="00210465">
        <w:t>tatutes</w:t>
      </w:r>
    </w:p>
    <w:p w14:paraId="09465FA1" w14:textId="77777777" w:rsidR="00210465" w:rsidRPr="00210465" w:rsidRDefault="00210465" w:rsidP="00210465"/>
    <w:p w14:paraId="6BCF5A7C" w14:textId="7BE51666" w:rsidR="00210465" w:rsidRPr="00210465" w:rsidRDefault="00210465" w:rsidP="004C2175">
      <w:pPr>
        <w:ind w:left="720" w:firstLine="720"/>
      </w:pPr>
      <w:r w:rsidRPr="00210465">
        <w:t>1)</w:t>
      </w:r>
      <w:r w:rsidRPr="00210465">
        <w:tab/>
        <w:t xml:space="preserve">Gramm-Leach-Bliley Act </w:t>
      </w:r>
      <w:r w:rsidR="00F934C9">
        <w:t>(</w:t>
      </w:r>
      <w:r w:rsidRPr="00210465">
        <w:t xml:space="preserve">12 </w:t>
      </w:r>
      <w:r w:rsidR="00F00486">
        <w:t>U.S.C.</w:t>
      </w:r>
      <w:r w:rsidRPr="00210465">
        <w:t xml:space="preserve"> 1811</w:t>
      </w:r>
      <w:r w:rsidR="00F934C9">
        <w:t>)</w:t>
      </w:r>
    </w:p>
    <w:p w14:paraId="0CCF2D54" w14:textId="77777777" w:rsidR="00210465" w:rsidRPr="00210465" w:rsidRDefault="00210465" w:rsidP="00210465"/>
    <w:p w14:paraId="030AA0BF" w14:textId="1E992FF5" w:rsidR="00210465" w:rsidRPr="00210465" w:rsidRDefault="00210465" w:rsidP="004C2175">
      <w:pPr>
        <w:ind w:left="720" w:firstLine="720"/>
      </w:pPr>
      <w:r w:rsidRPr="00210465">
        <w:t>2)</w:t>
      </w:r>
      <w:r w:rsidRPr="00210465">
        <w:tab/>
        <w:t xml:space="preserve">Social Security Act </w:t>
      </w:r>
      <w:r w:rsidR="00F934C9">
        <w:t>(</w:t>
      </w:r>
      <w:r w:rsidRPr="00210465">
        <w:t xml:space="preserve">42 </w:t>
      </w:r>
      <w:r w:rsidR="00F00486">
        <w:t>U.S.C.</w:t>
      </w:r>
      <w:r w:rsidRPr="00210465">
        <w:t xml:space="preserve"> 1320</w:t>
      </w:r>
      <w:r w:rsidR="00F934C9">
        <w:t>)</w:t>
      </w:r>
    </w:p>
    <w:p w14:paraId="49C57FD3" w14:textId="77777777" w:rsidR="00210465" w:rsidRPr="00210465" w:rsidRDefault="00210465" w:rsidP="00210465"/>
    <w:p w14:paraId="38C5A396" w14:textId="75D188DE" w:rsidR="00210465" w:rsidRDefault="00210465" w:rsidP="004C2175">
      <w:pPr>
        <w:ind w:left="2160" w:hanging="720"/>
      </w:pPr>
      <w:r w:rsidRPr="00210465">
        <w:t>3)</w:t>
      </w:r>
      <w:r w:rsidRPr="00210465">
        <w:tab/>
        <w:t xml:space="preserve">Health Insurance Portability and Accountability Act of 1996 </w:t>
      </w:r>
      <w:r w:rsidR="00F934C9">
        <w:t>(</w:t>
      </w:r>
      <w:r w:rsidRPr="00210465">
        <w:t xml:space="preserve">110 </w:t>
      </w:r>
      <w:r w:rsidR="00F00486">
        <w:t>U.S.C.</w:t>
      </w:r>
      <w:r w:rsidRPr="00210465">
        <w:t xml:space="preserve"> 1936</w:t>
      </w:r>
      <w:r w:rsidR="00F934C9">
        <w:t>)</w:t>
      </w:r>
    </w:p>
    <w:p w14:paraId="37A502D1" w14:textId="5069DD4C" w:rsidR="0069322C" w:rsidRDefault="0069322C" w:rsidP="00B23021"/>
    <w:p w14:paraId="2C4D6BA4" w14:textId="024E780B" w:rsidR="0069322C" w:rsidRDefault="0069322C" w:rsidP="0069322C">
      <w:pPr>
        <w:ind w:left="2160" w:hanging="720"/>
      </w:pPr>
      <w:r>
        <w:t>4)</w:t>
      </w:r>
      <w:r>
        <w:tab/>
        <w:t>Health Information Technology for Economic and Clinical Health (HITECH) Act, Title XIII of Division A and Title IV of Division B of the American Recovery and Reinvestment Act of 2009 (ARRA), 42 U</w:t>
      </w:r>
      <w:r w:rsidR="00F00486">
        <w:t>.S.C.</w:t>
      </w:r>
      <w:r>
        <w:t xml:space="preserve"> Section 300jj </w:t>
      </w:r>
      <w:r w:rsidRPr="008B3057">
        <w:rPr>
          <w:i/>
          <w:iCs/>
        </w:rPr>
        <w:t>et seq</w:t>
      </w:r>
      <w:r>
        <w:t>.; Section</w:t>
      </w:r>
      <w:r w:rsidR="008B3057">
        <w:t xml:space="preserve"> </w:t>
      </w:r>
      <w:r>
        <w:t>17901</w:t>
      </w:r>
      <w:r w:rsidRPr="008B3057">
        <w:rPr>
          <w:i/>
          <w:iCs/>
        </w:rPr>
        <w:t xml:space="preserve"> et seq</w:t>
      </w:r>
      <w:r>
        <w:t>.</w:t>
      </w:r>
    </w:p>
    <w:p w14:paraId="31274826" w14:textId="77777777" w:rsidR="0069322C" w:rsidRDefault="0069322C" w:rsidP="00B23021"/>
    <w:p w14:paraId="085B907E" w14:textId="39432C6B" w:rsidR="0069322C" w:rsidRPr="00210465" w:rsidRDefault="0069322C" w:rsidP="0069322C">
      <w:pPr>
        <w:ind w:left="2160" w:hanging="720"/>
      </w:pPr>
      <w:r>
        <w:t>5)</w:t>
      </w:r>
      <w:r>
        <w:tab/>
        <w:t>Public Health Security and Bioterrorism Preparedness and Response Act of 2002, 42 U.S.C</w:t>
      </w:r>
      <w:r w:rsidR="008B3057">
        <w:t>.</w:t>
      </w:r>
      <w:r>
        <w:t xml:space="preserve"> 262a</w:t>
      </w:r>
    </w:p>
    <w:p w14:paraId="11218B7C" w14:textId="77777777" w:rsidR="00210465" w:rsidRPr="00210465" w:rsidRDefault="00210465" w:rsidP="00210465"/>
    <w:p w14:paraId="4EF0CD4B" w14:textId="610BCDED" w:rsidR="00210465" w:rsidRPr="00210465" w:rsidRDefault="00210465" w:rsidP="008B3057">
      <w:pPr>
        <w:ind w:firstLine="720"/>
      </w:pPr>
      <w:r w:rsidRPr="00210465">
        <w:t>d)</w:t>
      </w:r>
      <w:r w:rsidRPr="00210465">
        <w:tab/>
        <w:t xml:space="preserve">State </w:t>
      </w:r>
      <w:r w:rsidR="00F934C9">
        <w:t>S</w:t>
      </w:r>
      <w:r w:rsidRPr="00210465">
        <w:t>tatutes</w:t>
      </w:r>
    </w:p>
    <w:p w14:paraId="07008766" w14:textId="77777777" w:rsidR="00210465" w:rsidRPr="00210465" w:rsidRDefault="00210465" w:rsidP="00210465"/>
    <w:p w14:paraId="3A56FCAB" w14:textId="77777777" w:rsidR="00210465" w:rsidRPr="00210465" w:rsidRDefault="00210465" w:rsidP="004C2175">
      <w:pPr>
        <w:ind w:left="720" w:firstLine="720"/>
      </w:pPr>
      <w:r w:rsidRPr="00210465">
        <w:t>1)</w:t>
      </w:r>
      <w:r w:rsidRPr="00210465">
        <w:tab/>
      </w:r>
      <w:smartTag w:uri="urn:schemas-microsoft-com:office:smarttags" w:element="place">
        <w:smartTag w:uri="urn:schemas-microsoft-com:office:smarttags" w:element="State">
          <w:r w:rsidRPr="00210465">
            <w:t>Illinois</w:t>
          </w:r>
        </w:smartTag>
      </w:smartTag>
      <w:r w:rsidRPr="00210465">
        <w:t xml:space="preserve"> Health Finance Reform Act [20 ILCS 2215]</w:t>
      </w:r>
    </w:p>
    <w:p w14:paraId="3627F0D5" w14:textId="77777777" w:rsidR="00210465" w:rsidRPr="00210465" w:rsidRDefault="00210465" w:rsidP="00210465"/>
    <w:p w14:paraId="354EE483" w14:textId="77777777" w:rsidR="00210465" w:rsidRPr="00210465" w:rsidRDefault="00210465" w:rsidP="004C2175">
      <w:pPr>
        <w:ind w:left="2160" w:hanging="720"/>
      </w:pPr>
      <w:r w:rsidRPr="00210465">
        <w:t>2)</w:t>
      </w:r>
      <w:r w:rsidRPr="00210465">
        <w:tab/>
        <w:t xml:space="preserve">Department of Public Health Powers and Duties Law of the Civil Administrative Code of </w:t>
      </w:r>
      <w:smartTag w:uri="urn:schemas-microsoft-com:office:smarttags" w:element="place">
        <w:smartTag w:uri="urn:schemas-microsoft-com:office:smarttags" w:element="State">
          <w:r w:rsidRPr="00210465">
            <w:t>Illinois</w:t>
          </w:r>
        </w:smartTag>
      </w:smartTag>
      <w:r w:rsidRPr="00210465">
        <w:t xml:space="preserve"> [20 ILCS 2310]</w:t>
      </w:r>
    </w:p>
    <w:p w14:paraId="2EA133DB" w14:textId="77777777" w:rsidR="00210465" w:rsidRPr="00210465" w:rsidRDefault="00210465" w:rsidP="00210465"/>
    <w:p w14:paraId="794F3039" w14:textId="77777777" w:rsidR="00210465" w:rsidRPr="00210465" w:rsidRDefault="00210465" w:rsidP="004C2175">
      <w:pPr>
        <w:ind w:left="720" w:firstLine="720"/>
      </w:pPr>
      <w:r w:rsidRPr="00210465">
        <w:t>3)</w:t>
      </w:r>
      <w:r w:rsidRPr="00210465">
        <w:tab/>
      </w:r>
      <w:smartTag w:uri="urn:schemas-microsoft-com:office:smarttags" w:element="place">
        <w:smartTag w:uri="urn:schemas-microsoft-com:office:smarttags" w:element="PlaceType">
          <w:r w:rsidRPr="00210465">
            <w:t>University</w:t>
          </w:r>
        </w:smartTag>
        <w:r w:rsidRPr="00210465">
          <w:t xml:space="preserve"> of </w:t>
        </w:r>
        <w:smartTag w:uri="urn:schemas-microsoft-com:office:smarttags" w:element="PlaceName">
          <w:r w:rsidRPr="00210465">
            <w:t>Illinois</w:t>
          </w:r>
        </w:smartTag>
      </w:smartTag>
      <w:r w:rsidRPr="00210465">
        <w:t xml:space="preserve"> Hospital Act [110 ILCS 330]</w:t>
      </w:r>
    </w:p>
    <w:p w14:paraId="6DF9E879" w14:textId="77777777" w:rsidR="00210465" w:rsidRPr="00210465" w:rsidRDefault="00210465" w:rsidP="00210465"/>
    <w:p w14:paraId="27586E35" w14:textId="77777777" w:rsidR="00210465" w:rsidRPr="00210465" w:rsidRDefault="00210465" w:rsidP="004C2175">
      <w:pPr>
        <w:ind w:left="720" w:firstLine="720"/>
      </w:pPr>
      <w:r w:rsidRPr="00210465">
        <w:t>4)</w:t>
      </w:r>
      <w:r w:rsidRPr="00210465">
        <w:tab/>
        <w:t xml:space="preserve">Ambulatory Surgical </w:t>
      </w:r>
      <w:smartTag w:uri="urn:schemas-microsoft-com:office:smarttags" w:element="place">
        <w:smartTag w:uri="urn:schemas-microsoft-com:office:smarttags" w:element="PlaceName">
          <w:r w:rsidRPr="00210465">
            <w:t>Treatment</w:t>
          </w:r>
        </w:smartTag>
        <w:r w:rsidRPr="00210465">
          <w:t xml:space="preserve"> </w:t>
        </w:r>
        <w:smartTag w:uri="urn:schemas-microsoft-com:office:smarttags" w:element="PlaceType">
          <w:r w:rsidRPr="00210465">
            <w:t>Center</w:t>
          </w:r>
        </w:smartTag>
      </w:smartTag>
      <w:r w:rsidRPr="00210465">
        <w:t xml:space="preserve"> Act [210 ILCS 5]</w:t>
      </w:r>
    </w:p>
    <w:p w14:paraId="0688B1A9" w14:textId="77777777" w:rsidR="00210465" w:rsidRPr="00210465" w:rsidRDefault="00210465" w:rsidP="00210465"/>
    <w:p w14:paraId="45146208" w14:textId="540C75ED" w:rsidR="00210465" w:rsidRDefault="00210465" w:rsidP="004C2175">
      <w:pPr>
        <w:ind w:left="720" w:firstLine="720"/>
      </w:pPr>
      <w:r w:rsidRPr="00210465">
        <w:t>5)</w:t>
      </w:r>
      <w:r w:rsidRPr="00210465">
        <w:tab/>
        <w:t>Hospital Licensing Act [210 ILCS 85]</w:t>
      </w:r>
    </w:p>
    <w:p w14:paraId="7D14DCD6" w14:textId="2468F27C" w:rsidR="0069322C" w:rsidRDefault="0069322C" w:rsidP="00B23021"/>
    <w:p w14:paraId="1B95E4C2" w14:textId="77073B2A" w:rsidR="0069322C" w:rsidRDefault="0069322C" w:rsidP="0069322C">
      <w:pPr>
        <w:ind w:left="720" w:firstLine="720"/>
      </w:pPr>
      <w:r>
        <w:t>6)</w:t>
      </w:r>
      <w:r>
        <w:tab/>
        <w:t>Communicable Disease Reporting Act [745 ILCS 45]</w:t>
      </w:r>
    </w:p>
    <w:p w14:paraId="6075A1D1" w14:textId="77777777" w:rsidR="0069322C" w:rsidRDefault="0069322C" w:rsidP="00B23021"/>
    <w:p w14:paraId="1BCDC9BC" w14:textId="1EB2D04A" w:rsidR="0069322C" w:rsidRDefault="0069322C" w:rsidP="0069322C">
      <w:pPr>
        <w:ind w:left="720" w:firstLine="720"/>
      </w:pPr>
      <w:r>
        <w:t>7)</w:t>
      </w:r>
      <w:r>
        <w:tab/>
        <w:t>Illinois Health Statistics Act [410 ILCS 520]</w:t>
      </w:r>
    </w:p>
    <w:p w14:paraId="40C0FFF9" w14:textId="77777777" w:rsidR="0069322C" w:rsidRDefault="0069322C" w:rsidP="00B23021"/>
    <w:p w14:paraId="4728C2A8" w14:textId="4A0EFD51" w:rsidR="0069322C" w:rsidRDefault="0069322C" w:rsidP="0069322C">
      <w:pPr>
        <w:ind w:left="720" w:firstLine="720"/>
      </w:pPr>
      <w:r>
        <w:t>8)</w:t>
      </w:r>
      <w:r>
        <w:tab/>
        <w:t>Department of Public Health Act [20 ILCS 2305]</w:t>
      </w:r>
    </w:p>
    <w:p w14:paraId="01C080A6" w14:textId="77777777" w:rsidR="0069322C" w:rsidRDefault="0069322C" w:rsidP="00B23021"/>
    <w:p w14:paraId="51141D12" w14:textId="219A1823" w:rsidR="0069322C" w:rsidRDefault="0069322C" w:rsidP="0069322C">
      <w:pPr>
        <w:ind w:left="720"/>
      </w:pPr>
      <w:r>
        <w:t>e)</w:t>
      </w:r>
      <w:r>
        <w:tab/>
        <w:t>State of Illinois Rules</w:t>
      </w:r>
    </w:p>
    <w:p w14:paraId="0BAC214C" w14:textId="77777777" w:rsidR="0069322C" w:rsidRDefault="0069322C" w:rsidP="00B23021"/>
    <w:p w14:paraId="692B3285" w14:textId="36CCEF1C" w:rsidR="0069322C" w:rsidRPr="00210465" w:rsidRDefault="0069322C" w:rsidP="0069322C">
      <w:pPr>
        <w:ind w:left="1440" w:firstLine="720"/>
      </w:pPr>
      <w:r>
        <w:t xml:space="preserve">Control of Communicable Diseases Code </w:t>
      </w:r>
      <w:r w:rsidR="00C97FC6">
        <w:t>(</w:t>
      </w:r>
      <w:r>
        <w:t>77 Ill. Admin. Code 690</w:t>
      </w:r>
      <w:r w:rsidR="00C97FC6">
        <w:t>)</w:t>
      </w:r>
    </w:p>
    <w:p w14:paraId="3A01AB3E" w14:textId="77777777" w:rsidR="00210465" w:rsidRPr="00210465" w:rsidRDefault="00210465" w:rsidP="00210465"/>
    <w:p w14:paraId="6D13374C" w14:textId="027C95B4" w:rsidR="00210465" w:rsidRDefault="0069322C" w:rsidP="004C2175">
      <w:pPr>
        <w:ind w:left="1440" w:hanging="720"/>
      </w:pPr>
      <w:r>
        <w:t>f</w:t>
      </w:r>
      <w:r w:rsidR="00210465" w:rsidRPr="00210465">
        <w:t>)</w:t>
      </w:r>
      <w:r w:rsidR="00210465" w:rsidRPr="00210465">
        <w:tab/>
        <w:t>Federal regulations and guidelines incorporated by reference in this Part are incorporated on the date specified and do not include any later amendments or editions.</w:t>
      </w:r>
    </w:p>
    <w:p w14:paraId="30D7AC18" w14:textId="5CF1EF15" w:rsidR="0069322C" w:rsidRDefault="0069322C" w:rsidP="00B23021"/>
    <w:p w14:paraId="486DD4B7" w14:textId="5613B7D3" w:rsidR="0069322C" w:rsidRPr="00210465" w:rsidRDefault="0069322C" w:rsidP="004C2175">
      <w:pPr>
        <w:ind w:left="1440" w:hanging="720"/>
      </w:pPr>
      <w:r>
        <w:t>(Source:  Amended at 4</w:t>
      </w:r>
      <w:r w:rsidR="00FB1E9E">
        <w:t>7</w:t>
      </w:r>
      <w:r>
        <w:t xml:space="preserve"> Ill. Reg. </w:t>
      </w:r>
      <w:r w:rsidR="00EB0735">
        <w:t>4017</w:t>
      </w:r>
      <w:r>
        <w:t xml:space="preserve">, effective </w:t>
      </w:r>
      <w:r w:rsidR="00EB0735">
        <w:t>March 10, 2023</w:t>
      </w:r>
      <w:r>
        <w:t>)</w:t>
      </w:r>
    </w:p>
    <w:sectPr w:rsidR="0069322C" w:rsidRPr="00210465" w:rsidSect="005F15B8">
      <w:type w:val="continuous"/>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BDA5E" w14:textId="77777777" w:rsidR="005D2CF7" w:rsidRDefault="005D2CF7">
      <w:r>
        <w:separator/>
      </w:r>
    </w:p>
  </w:endnote>
  <w:endnote w:type="continuationSeparator" w:id="0">
    <w:p w14:paraId="65590053" w14:textId="77777777" w:rsidR="005D2CF7" w:rsidRDefault="005D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D4D48" w14:textId="77777777" w:rsidR="005D2CF7" w:rsidRDefault="005D2CF7">
      <w:r>
        <w:separator/>
      </w:r>
    </w:p>
  </w:footnote>
  <w:footnote w:type="continuationSeparator" w:id="0">
    <w:p w14:paraId="52D9A3A4" w14:textId="77777777" w:rsidR="005D2CF7" w:rsidRDefault="005D2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046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0465"/>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4E55"/>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D54AB"/>
    <w:rsid w:val="003E4F17"/>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2175"/>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2CF7"/>
    <w:rsid w:val="005D35F3"/>
    <w:rsid w:val="005E03A7"/>
    <w:rsid w:val="005E3D55"/>
    <w:rsid w:val="005E7E9A"/>
    <w:rsid w:val="005F15B8"/>
    <w:rsid w:val="006132CE"/>
    <w:rsid w:val="00620BBA"/>
    <w:rsid w:val="006247D4"/>
    <w:rsid w:val="00631875"/>
    <w:rsid w:val="00641AEA"/>
    <w:rsid w:val="0064660E"/>
    <w:rsid w:val="00651FF5"/>
    <w:rsid w:val="00670B89"/>
    <w:rsid w:val="00672EE7"/>
    <w:rsid w:val="006861B7"/>
    <w:rsid w:val="00691405"/>
    <w:rsid w:val="00692220"/>
    <w:rsid w:val="0069322C"/>
    <w:rsid w:val="00694C82"/>
    <w:rsid w:val="00695CB6"/>
    <w:rsid w:val="00697F1A"/>
    <w:rsid w:val="006A042E"/>
    <w:rsid w:val="006A2114"/>
    <w:rsid w:val="006A72FE"/>
    <w:rsid w:val="006B3E84"/>
    <w:rsid w:val="006B5C47"/>
    <w:rsid w:val="006B7535"/>
    <w:rsid w:val="006B7892"/>
    <w:rsid w:val="006C45D5"/>
    <w:rsid w:val="006C7BDB"/>
    <w:rsid w:val="006E1AE0"/>
    <w:rsid w:val="00702A38"/>
    <w:rsid w:val="00704555"/>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4581"/>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3057"/>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547"/>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3021"/>
    <w:rsid w:val="00B2411F"/>
    <w:rsid w:val="00B35D67"/>
    <w:rsid w:val="00B420C1"/>
    <w:rsid w:val="00B4287F"/>
    <w:rsid w:val="00B44A11"/>
    <w:rsid w:val="00B516F7"/>
    <w:rsid w:val="00B530BA"/>
    <w:rsid w:val="00B557AA"/>
    <w:rsid w:val="00B6040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3061"/>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97FC6"/>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3648"/>
    <w:rsid w:val="00D55B37"/>
    <w:rsid w:val="00D5634E"/>
    <w:rsid w:val="00D63612"/>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00736"/>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0735"/>
    <w:rsid w:val="00EB33C3"/>
    <w:rsid w:val="00EB424E"/>
    <w:rsid w:val="00EC3846"/>
    <w:rsid w:val="00EC6C31"/>
    <w:rsid w:val="00ED1405"/>
    <w:rsid w:val="00EE2300"/>
    <w:rsid w:val="00EE4CCB"/>
    <w:rsid w:val="00EF755A"/>
    <w:rsid w:val="00F00486"/>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34C9"/>
    <w:rsid w:val="00F942E4"/>
    <w:rsid w:val="00F942E7"/>
    <w:rsid w:val="00F953D5"/>
    <w:rsid w:val="00F97D67"/>
    <w:rsid w:val="00FA19DB"/>
    <w:rsid w:val="00FB1E9E"/>
    <w:rsid w:val="00FB6CE4"/>
    <w:rsid w:val="00FC18E5"/>
    <w:rsid w:val="00FC2BF7"/>
    <w:rsid w:val="00FC3252"/>
    <w:rsid w:val="00FC34CE"/>
    <w:rsid w:val="00FC7A26"/>
    <w:rsid w:val="00FD25DA"/>
    <w:rsid w:val="00FD38AB"/>
    <w:rsid w:val="00FD3C92"/>
    <w:rsid w:val="00FE259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11D5579"/>
  <w15:docId w15:val="{7128A408-AE4B-4179-8225-9555BCAA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210465"/>
    <w:pPr>
      <w:ind w:left="2160"/>
    </w:pPr>
  </w:style>
  <w:style w:type="character" w:customStyle="1" w:styleId="brokenlink">
    <w:name w:val="brokenlink"/>
    <w:basedOn w:val="DefaultParagraphFont"/>
    <w:rsid w:val="00210465"/>
  </w:style>
  <w:style w:type="character" w:styleId="Emphasis">
    <w:name w:val="Emphasis"/>
    <w:basedOn w:val="DefaultParagraphFont"/>
    <w:qFormat/>
    <w:rsid w:val="00210465"/>
    <w:rPr>
      <w:i/>
      <w:iCs/>
    </w:rPr>
  </w:style>
  <w:style w:type="character" w:styleId="Hyperlink">
    <w:name w:val="Hyperlink"/>
    <w:basedOn w:val="DefaultParagraphFont"/>
    <w:unhideWhenUsed/>
    <w:rsid w:val="0069322C"/>
    <w:rPr>
      <w:color w:val="0000FF" w:themeColor="hyperlink"/>
      <w:u w:val="single"/>
    </w:rPr>
  </w:style>
  <w:style w:type="character" w:styleId="UnresolvedMention">
    <w:name w:val="Unresolved Mention"/>
    <w:basedOn w:val="DefaultParagraphFont"/>
    <w:uiPriority w:val="99"/>
    <w:semiHidden/>
    <w:unhideWhenUsed/>
    <w:rsid w:val="00693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94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2023-02-17T19:56:00Z</dcterms:created>
  <dcterms:modified xsi:type="dcterms:W3CDTF">2023-03-23T20:14:00Z</dcterms:modified>
</cp:coreProperties>
</file>