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74" w:rsidRDefault="006C5E74" w:rsidP="006C5E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E74" w:rsidRDefault="006C5E74" w:rsidP="006C5E74">
      <w:pPr>
        <w:widowControl w:val="0"/>
        <w:autoSpaceDE w:val="0"/>
        <w:autoSpaceDN w:val="0"/>
        <w:adjustRightInd w:val="0"/>
      </w:pPr>
      <w:r>
        <w:t xml:space="preserve">AUTHORITY:  Implementing and authorized by the Water Well and Pump Installation  Contractor's License Act [225 ILCS 345]. </w:t>
      </w:r>
    </w:p>
    <w:sectPr w:rsidR="006C5E74" w:rsidSect="006C5E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E74"/>
    <w:rsid w:val="003F0F18"/>
    <w:rsid w:val="00553B4F"/>
    <w:rsid w:val="005C3366"/>
    <w:rsid w:val="006C5E74"/>
    <w:rsid w:val="00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Water Well and Pump Installation  Contractor's License Act [225 ILCS 345]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Water Well and Pump Installation  Contractor's License Act [225 ILCS 345]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