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A2" w:rsidRDefault="00FE71A2" w:rsidP="00FE71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71A2" w:rsidRDefault="00FE71A2" w:rsidP="00FE71A2">
      <w:pPr>
        <w:widowControl w:val="0"/>
        <w:autoSpaceDE w:val="0"/>
        <w:autoSpaceDN w:val="0"/>
        <w:adjustRightInd w:val="0"/>
      </w:pPr>
      <w:r>
        <w:t xml:space="preserve">AUTHORITY:  Implementing and authorized by the Mobile Home Park Act [210 ILCS 115]. </w:t>
      </w:r>
    </w:p>
    <w:sectPr w:rsidR="00FE71A2" w:rsidSect="00FE71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1A2"/>
    <w:rsid w:val="005C3366"/>
    <w:rsid w:val="00B45BD1"/>
    <w:rsid w:val="00BC24E9"/>
    <w:rsid w:val="00D354B3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Mobile Home Park Act [210 ILCS 115]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Mobile Home Park Act [210 ILCS 115]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