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60" w:rsidRDefault="00953960" w:rsidP="009539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3960" w:rsidRDefault="00953960" w:rsidP="00953960">
      <w:pPr>
        <w:widowControl w:val="0"/>
        <w:autoSpaceDE w:val="0"/>
        <w:autoSpaceDN w:val="0"/>
        <w:adjustRightInd w:val="0"/>
        <w:jc w:val="center"/>
      </w:pPr>
      <w:r>
        <w:t>SUBPART E:  LOCAL EDUCATIONAL AGENCY RESPONSIBILITIES</w:t>
      </w:r>
    </w:p>
    <w:p w:rsidR="00953960" w:rsidRDefault="00953960" w:rsidP="00953960">
      <w:pPr>
        <w:widowControl w:val="0"/>
        <w:autoSpaceDE w:val="0"/>
        <w:autoSpaceDN w:val="0"/>
        <w:adjustRightInd w:val="0"/>
        <w:jc w:val="center"/>
      </w:pPr>
      <w:r>
        <w:t>AND STANDARDS FOR ABATEMENT</w:t>
      </w:r>
    </w:p>
    <w:sectPr w:rsidR="00953960" w:rsidSect="009539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960"/>
    <w:rsid w:val="00393C49"/>
    <w:rsid w:val="005C3366"/>
    <w:rsid w:val="006F1E1E"/>
    <w:rsid w:val="00953960"/>
    <w:rsid w:val="00B9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LOCAL EDUCATIONAL AGENCY RESPONSIBILITIES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LOCAL EDUCATIONAL AGENCY RESPONSIBILITIES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