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BBF" w:rsidRDefault="00AD7BBF" w:rsidP="00AD7B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7BBF" w:rsidRDefault="00AD7BBF" w:rsidP="00AD7B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790.260  Inclusion of Controlled Substances</w:t>
      </w:r>
      <w:r>
        <w:t xml:space="preserve"> </w:t>
      </w:r>
    </w:p>
    <w:p w:rsidR="00AD7BBF" w:rsidRDefault="00AD7BBF" w:rsidP="00AD7BBF">
      <w:pPr>
        <w:widowControl w:val="0"/>
        <w:autoSpaceDE w:val="0"/>
        <w:autoSpaceDN w:val="0"/>
        <w:adjustRightInd w:val="0"/>
      </w:pPr>
    </w:p>
    <w:p w:rsidR="00AD7BBF" w:rsidRDefault="00AD7BBF" w:rsidP="00AD7BBF">
      <w:pPr>
        <w:widowControl w:val="0"/>
        <w:autoSpaceDE w:val="0"/>
        <w:autoSpaceDN w:val="0"/>
        <w:adjustRightInd w:val="0"/>
      </w:pPr>
      <w:r>
        <w:t xml:space="preserve">Controlled substances listed in Schedule I of the Illinois Controlled Substances Act, (Ill. Rev. Stat. 1983, ch. 56 </w:t>
      </w:r>
      <w:r w:rsidR="00F31BC0">
        <w:t>½</w:t>
      </w:r>
      <w:r>
        <w:t xml:space="preserve">, par. 1100), shall be excluded.  Products in Schedules II, III, IV and V are included provided they meet all other criteria as set forth in subpart A of this Part. </w:t>
      </w:r>
    </w:p>
    <w:p w:rsidR="00AD7BBF" w:rsidRDefault="00AD7BBF" w:rsidP="00AD7BBF">
      <w:pPr>
        <w:widowControl w:val="0"/>
        <w:autoSpaceDE w:val="0"/>
        <w:autoSpaceDN w:val="0"/>
        <w:adjustRightInd w:val="0"/>
      </w:pPr>
    </w:p>
    <w:p w:rsidR="00AD7BBF" w:rsidRDefault="00AD7BBF" w:rsidP="00AD7BB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4071, effective April 1, 1985) </w:t>
      </w:r>
    </w:p>
    <w:sectPr w:rsidR="00AD7BBF" w:rsidSect="00AD7B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7BBF"/>
    <w:rsid w:val="002A769B"/>
    <w:rsid w:val="005C3366"/>
    <w:rsid w:val="00663C68"/>
    <w:rsid w:val="00AD7BBF"/>
    <w:rsid w:val="00F31BC0"/>
    <w:rsid w:val="00F8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