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62" w:rsidRDefault="004E2862" w:rsidP="004E28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862" w:rsidRDefault="004E2862" w:rsidP="004E28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790.240  Criteria for Exclusion of Drug Products</w:t>
      </w:r>
      <w:r>
        <w:t xml:space="preserve"> </w:t>
      </w:r>
    </w:p>
    <w:p w:rsidR="004E2862" w:rsidRDefault="004E2862" w:rsidP="004E2862">
      <w:pPr>
        <w:widowControl w:val="0"/>
        <w:autoSpaceDE w:val="0"/>
        <w:autoSpaceDN w:val="0"/>
        <w:adjustRightInd w:val="0"/>
      </w:pPr>
    </w:p>
    <w:p w:rsidR="004E2862" w:rsidRDefault="004E2862" w:rsidP="004E2862">
      <w:pPr>
        <w:widowControl w:val="0"/>
        <w:autoSpaceDE w:val="0"/>
        <w:autoSpaceDN w:val="0"/>
        <w:adjustRightInd w:val="0"/>
      </w:pPr>
      <w:r>
        <w:t xml:space="preserve">Drug products of the following dosage forms for which different brands are not necessarily pharmaceutically and therapeutically equivalent shall be excluded: </w:t>
      </w:r>
    </w:p>
    <w:p w:rsidR="00AE493E" w:rsidRDefault="00AE493E" w:rsidP="004E2862">
      <w:pPr>
        <w:widowControl w:val="0"/>
        <w:autoSpaceDE w:val="0"/>
        <w:autoSpaceDN w:val="0"/>
        <w:adjustRightInd w:val="0"/>
      </w:pPr>
    </w:p>
    <w:p w:rsidR="004E2862" w:rsidRDefault="004E2862" w:rsidP="004E28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Enteric coated tablets </w:t>
      </w:r>
    </w:p>
    <w:p w:rsidR="00AE493E" w:rsidRDefault="00AE493E" w:rsidP="004E2862">
      <w:pPr>
        <w:widowControl w:val="0"/>
        <w:autoSpaceDE w:val="0"/>
        <w:autoSpaceDN w:val="0"/>
        <w:adjustRightInd w:val="0"/>
        <w:ind w:left="1440" w:hanging="720"/>
      </w:pPr>
    </w:p>
    <w:p w:rsidR="004E2862" w:rsidRDefault="004E2862" w:rsidP="004E28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Injectable</w:t>
      </w:r>
      <w:proofErr w:type="spellEnd"/>
      <w:r>
        <w:t xml:space="preserve"> suspensions, other than antibiotics </w:t>
      </w:r>
    </w:p>
    <w:p w:rsidR="00AE493E" w:rsidRDefault="00AE493E" w:rsidP="004E2862">
      <w:pPr>
        <w:widowControl w:val="0"/>
        <w:autoSpaceDE w:val="0"/>
        <w:autoSpaceDN w:val="0"/>
        <w:adjustRightInd w:val="0"/>
        <w:ind w:left="1440" w:hanging="720"/>
      </w:pPr>
    </w:p>
    <w:p w:rsidR="004E2862" w:rsidRDefault="004E2862" w:rsidP="004E28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Suppositories containing active ingredients for which systemic absorption is necessary for therapeutic activity </w:t>
      </w:r>
    </w:p>
    <w:p w:rsidR="00AE493E" w:rsidRDefault="00AE493E" w:rsidP="004E2862">
      <w:pPr>
        <w:widowControl w:val="0"/>
        <w:autoSpaceDE w:val="0"/>
        <w:autoSpaceDN w:val="0"/>
        <w:adjustRightInd w:val="0"/>
        <w:ind w:left="1440" w:hanging="720"/>
      </w:pPr>
    </w:p>
    <w:p w:rsidR="004E2862" w:rsidRDefault="004E2862" w:rsidP="004E28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Different delivery systems for aerosol and </w:t>
      </w:r>
      <w:proofErr w:type="spellStart"/>
      <w:r>
        <w:t>nebulizer</w:t>
      </w:r>
      <w:proofErr w:type="spellEnd"/>
      <w:r>
        <w:t xml:space="preserve"> drugs </w:t>
      </w:r>
    </w:p>
    <w:p w:rsidR="004E2862" w:rsidRDefault="004E2862" w:rsidP="004E2862">
      <w:pPr>
        <w:widowControl w:val="0"/>
        <w:autoSpaceDE w:val="0"/>
        <w:autoSpaceDN w:val="0"/>
        <w:adjustRightInd w:val="0"/>
        <w:ind w:left="1440" w:hanging="720"/>
      </w:pPr>
    </w:p>
    <w:p w:rsidR="004E2862" w:rsidRDefault="004E2862" w:rsidP="004E28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15195, effective December 15, 1982) </w:t>
      </w:r>
    </w:p>
    <w:sectPr w:rsidR="004E2862" w:rsidSect="004E2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862"/>
    <w:rsid w:val="004E2862"/>
    <w:rsid w:val="005C3366"/>
    <w:rsid w:val="00896C69"/>
    <w:rsid w:val="00AE493E"/>
    <w:rsid w:val="00CD4D1F"/>
    <w:rsid w:val="00D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