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55" w:rsidRDefault="00755E55" w:rsidP="00755E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E55" w:rsidRDefault="00755E55" w:rsidP="00755E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790.220  Single Source Drug Products Exclusion</w:t>
      </w:r>
      <w:r>
        <w:t xml:space="preserve"> </w:t>
      </w:r>
    </w:p>
    <w:p w:rsidR="00755E55" w:rsidRDefault="00755E55" w:rsidP="00755E55">
      <w:pPr>
        <w:widowControl w:val="0"/>
        <w:autoSpaceDE w:val="0"/>
        <w:autoSpaceDN w:val="0"/>
        <w:adjustRightInd w:val="0"/>
      </w:pPr>
    </w:p>
    <w:p w:rsidR="00755E55" w:rsidRDefault="00755E55" w:rsidP="00755E55">
      <w:pPr>
        <w:widowControl w:val="0"/>
        <w:autoSpaceDE w:val="0"/>
        <w:autoSpaceDN w:val="0"/>
        <w:adjustRightInd w:val="0"/>
      </w:pPr>
      <w:r>
        <w:t xml:space="preserve">Single source drug products which are available only under a single brand name label shall be excluded.  Products which have a single source manufacturer, but which may be distributed under multiple labels are listed with a warning for pharmacists to ascertain that the product selected was produced by the approved manufacturer. </w:t>
      </w:r>
    </w:p>
    <w:p w:rsidR="00755E55" w:rsidRDefault="00755E55" w:rsidP="00755E55">
      <w:pPr>
        <w:widowControl w:val="0"/>
        <w:autoSpaceDE w:val="0"/>
        <w:autoSpaceDN w:val="0"/>
        <w:adjustRightInd w:val="0"/>
      </w:pPr>
    </w:p>
    <w:p w:rsidR="00755E55" w:rsidRDefault="00755E55" w:rsidP="00755E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27, p. 113, effective Ju1y 1, 1979) </w:t>
      </w:r>
    </w:p>
    <w:sectPr w:rsidR="00755E55" w:rsidSect="00755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E55"/>
    <w:rsid w:val="00014502"/>
    <w:rsid w:val="00023171"/>
    <w:rsid w:val="005C3366"/>
    <w:rsid w:val="00755E55"/>
    <w:rsid w:val="0094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