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430" w:rsidRDefault="00167430" w:rsidP="00167430">
      <w:pPr>
        <w:widowControl w:val="0"/>
        <w:autoSpaceDE w:val="0"/>
        <w:autoSpaceDN w:val="0"/>
        <w:adjustRightInd w:val="0"/>
      </w:pPr>
      <w:bookmarkStart w:id="0" w:name="_GoBack"/>
      <w:bookmarkEnd w:id="0"/>
    </w:p>
    <w:p w:rsidR="00167430" w:rsidRDefault="00167430" w:rsidP="00167430">
      <w:pPr>
        <w:widowControl w:val="0"/>
        <w:autoSpaceDE w:val="0"/>
        <w:autoSpaceDN w:val="0"/>
        <w:adjustRightInd w:val="0"/>
      </w:pPr>
      <w:r>
        <w:rPr>
          <w:b/>
          <w:bCs/>
        </w:rPr>
        <w:t>Section 790.100  Generic Drug Entity Headings</w:t>
      </w:r>
      <w:r>
        <w:t xml:space="preserve"> </w:t>
      </w:r>
    </w:p>
    <w:p w:rsidR="00167430" w:rsidRDefault="00167430" w:rsidP="00167430">
      <w:pPr>
        <w:widowControl w:val="0"/>
        <w:autoSpaceDE w:val="0"/>
        <w:autoSpaceDN w:val="0"/>
        <w:adjustRightInd w:val="0"/>
      </w:pPr>
    </w:p>
    <w:p w:rsidR="00167430" w:rsidRDefault="00167430" w:rsidP="00167430">
      <w:pPr>
        <w:widowControl w:val="0"/>
        <w:autoSpaceDE w:val="0"/>
        <w:autoSpaceDN w:val="0"/>
        <w:adjustRightInd w:val="0"/>
      </w:pPr>
      <w:r>
        <w:t xml:space="preserve">The formulary consists of generic drug entity headings in alphabetical order.  Within the entity grouping is indicated the individual product's marketed name, dosage form and dosage strength.  The manufacturer listed is the firm holding the FDA approved drug application for the product.  Listed products remain approved for DPS use when distributed under the label of another manufacturer. </w:t>
      </w:r>
    </w:p>
    <w:p w:rsidR="00167430" w:rsidRDefault="00167430" w:rsidP="00167430">
      <w:pPr>
        <w:widowControl w:val="0"/>
        <w:autoSpaceDE w:val="0"/>
        <w:autoSpaceDN w:val="0"/>
        <w:adjustRightInd w:val="0"/>
      </w:pPr>
    </w:p>
    <w:p w:rsidR="00167430" w:rsidRDefault="00167430" w:rsidP="00167430">
      <w:pPr>
        <w:widowControl w:val="0"/>
        <w:autoSpaceDE w:val="0"/>
        <w:autoSpaceDN w:val="0"/>
        <w:adjustRightInd w:val="0"/>
        <w:ind w:left="1440" w:hanging="720"/>
      </w:pPr>
      <w:r>
        <w:t xml:space="preserve">(Source:  Amended at 3 Ill. Reg. 27, p. 113, effective Ju1y 1, 1979) </w:t>
      </w:r>
    </w:p>
    <w:sectPr w:rsidR="00167430" w:rsidSect="001674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7430"/>
    <w:rsid w:val="00167430"/>
    <w:rsid w:val="005C3366"/>
    <w:rsid w:val="00AE7DBF"/>
    <w:rsid w:val="00CE00E7"/>
    <w:rsid w:val="00E0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