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AB" w:rsidRDefault="002E46AB" w:rsidP="002E46AB">
      <w:pPr>
        <w:widowControl w:val="0"/>
        <w:autoSpaceDE w:val="0"/>
        <w:autoSpaceDN w:val="0"/>
        <w:adjustRightInd w:val="0"/>
      </w:pPr>
      <w:bookmarkStart w:id="0" w:name="_GoBack"/>
      <w:bookmarkEnd w:id="0"/>
    </w:p>
    <w:p w:rsidR="002E46AB" w:rsidRDefault="002E46AB" w:rsidP="002E46AB">
      <w:pPr>
        <w:widowControl w:val="0"/>
        <w:autoSpaceDE w:val="0"/>
        <w:autoSpaceDN w:val="0"/>
        <w:adjustRightInd w:val="0"/>
      </w:pPr>
      <w:r>
        <w:rPr>
          <w:b/>
          <w:bCs/>
        </w:rPr>
        <w:t>Section 785.990  Quality Standards for Raw and Pasteurized Dairy Ingredients, Mix, or Frozen Desserts</w:t>
      </w:r>
      <w:r>
        <w:t xml:space="preserve"> </w:t>
      </w:r>
    </w:p>
    <w:p w:rsidR="002E46AB" w:rsidRDefault="002E46AB" w:rsidP="002E46AB">
      <w:pPr>
        <w:widowControl w:val="0"/>
        <w:autoSpaceDE w:val="0"/>
        <w:autoSpaceDN w:val="0"/>
        <w:adjustRightInd w:val="0"/>
      </w:pPr>
    </w:p>
    <w:p w:rsidR="002E46AB" w:rsidRDefault="002E46AB" w:rsidP="002E46AB">
      <w:pPr>
        <w:widowControl w:val="0"/>
        <w:autoSpaceDE w:val="0"/>
        <w:autoSpaceDN w:val="0"/>
        <w:adjustRightInd w:val="0"/>
      </w:pPr>
      <w:r>
        <w:t>Pasteurized mix, raw dairy ingredients and frozen desserts shall comply with the standards of Table 990.  The phenol value shall be no greater than the minimum specified for the particular product, as determined by the phosphatase test in the 15</w:t>
      </w:r>
      <w:r w:rsidRPr="000C67F5">
        <w:rPr>
          <w:vertAlign w:val="superscript"/>
        </w:rPr>
        <w:t>th</w:t>
      </w:r>
      <w:r>
        <w:t xml:space="preserve"> edition of "Standard Methods." </w:t>
      </w:r>
    </w:p>
    <w:p w:rsidR="000C67F5" w:rsidRDefault="000C67F5" w:rsidP="002E46AB">
      <w:pPr>
        <w:widowControl w:val="0"/>
        <w:autoSpaceDE w:val="0"/>
        <w:autoSpaceDN w:val="0"/>
        <w:adjustRightInd w:val="0"/>
      </w:pPr>
    </w:p>
    <w:p w:rsidR="000C67F5" w:rsidRDefault="000C67F5" w:rsidP="000C67F5">
      <w:pPr>
        <w:widowControl w:val="0"/>
        <w:autoSpaceDE w:val="0"/>
        <w:autoSpaceDN w:val="0"/>
        <w:adjustRightInd w:val="0"/>
        <w:jc w:val="center"/>
      </w:pPr>
      <w:r>
        <w:t>TABLE 990</w:t>
      </w:r>
    </w:p>
    <w:p w:rsidR="000C67F5" w:rsidRDefault="000C67F5" w:rsidP="002E46AB">
      <w:pPr>
        <w:widowControl w:val="0"/>
        <w:autoSpaceDE w:val="0"/>
        <w:autoSpaceDN w:val="0"/>
        <w:adjustRightInd w:val="0"/>
      </w:pPr>
    </w:p>
    <w:tbl>
      <w:tblPr>
        <w:tblW w:w="9285" w:type="dxa"/>
        <w:tblLayout w:type="fixed"/>
        <w:tblLook w:val="0000" w:firstRow="0" w:lastRow="0" w:firstColumn="0" w:lastColumn="0" w:noHBand="0" w:noVBand="0"/>
      </w:tblPr>
      <w:tblGrid>
        <w:gridCol w:w="3393"/>
        <w:gridCol w:w="2073"/>
        <w:gridCol w:w="2223"/>
        <w:gridCol w:w="1596"/>
      </w:tblGrid>
      <w:tr w:rsidR="000C67F5">
        <w:tblPrEx>
          <w:tblCellMar>
            <w:top w:w="0" w:type="dxa"/>
            <w:bottom w:w="0" w:type="dxa"/>
          </w:tblCellMar>
        </w:tblPrEx>
        <w:trPr>
          <w:trHeight w:val="1250"/>
        </w:trPr>
        <w:tc>
          <w:tcPr>
            <w:tcW w:w="3393" w:type="dxa"/>
            <w:tcBorders>
              <w:top w:val="single" w:sz="4" w:space="0" w:color="auto"/>
              <w:bottom w:val="single" w:sz="4" w:space="0" w:color="auto"/>
            </w:tcBorders>
            <w:vAlign w:val="center"/>
          </w:tcPr>
          <w:p w:rsidR="000C67F5" w:rsidRDefault="000C67F5" w:rsidP="000C67F5">
            <w:pPr>
              <w:widowControl w:val="0"/>
              <w:autoSpaceDE w:val="0"/>
              <w:autoSpaceDN w:val="0"/>
              <w:adjustRightInd w:val="0"/>
              <w:jc w:val="center"/>
            </w:pPr>
          </w:p>
        </w:tc>
        <w:tc>
          <w:tcPr>
            <w:tcW w:w="2073" w:type="dxa"/>
            <w:tcBorders>
              <w:top w:val="single" w:sz="4" w:space="0" w:color="auto"/>
              <w:bottom w:val="single" w:sz="4" w:space="0" w:color="auto"/>
            </w:tcBorders>
            <w:vAlign w:val="center"/>
          </w:tcPr>
          <w:p w:rsidR="000C67F5" w:rsidRDefault="000C67F5" w:rsidP="002C3597">
            <w:pPr>
              <w:widowControl w:val="0"/>
              <w:autoSpaceDE w:val="0"/>
              <w:autoSpaceDN w:val="0"/>
              <w:adjustRightInd w:val="0"/>
              <w:ind w:left="-126"/>
              <w:jc w:val="center"/>
            </w:pPr>
            <w:r>
              <w:t>Bacteria count standard plate count not more than</w:t>
            </w:r>
          </w:p>
        </w:tc>
        <w:tc>
          <w:tcPr>
            <w:tcW w:w="2223" w:type="dxa"/>
            <w:tcBorders>
              <w:top w:val="single" w:sz="4" w:space="0" w:color="auto"/>
              <w:bottom w:val="single" w:sz="4" w:space="0" w:color="auto"/>
            </w:tcBorders>
            <w:vAlign w:val="center"/>
          </w:tcPr>
          <w:p w:rsidR="000C67F5" w:rsidRDefault="000C67F5" w:rsidP="002C3597">
            <w:pPr>
              <w:widowControl w:val="0"/>
              <w:autoSpaceDE w:val="0"/>
              <w:autoSpaceDN w:val="0"/>
              <w:adjustRightInd w:val="0"/>
              <w:ind w:left="204" w:right="363"/>
              <w:jc w:val="center"/>
            </w:pPr>
            <w:r>
              <w:t>Coliform determination not more than</w:t>
            </w:r>
          </w:p>
        </w:tc>
        <w:tc>
          <w:tcPr>
            <w:tcW w:w="1596" w:type="dxa"/>
            <w:tcBorders>
              <w:top w:val="single" w:sz="4" w:space="0" w:color="auto"/>
              <w:bottom w:val="single" w:sz="4" w:space="0" w:color="auto"/>
            </w:tcBorders>
            <w:vAlign w:val="center"/>
          </w:tcPr>
          <w:p w:rsidR="000C67F5" w:rsidRDefault="000C67F5" w:rsidP="000C67F5">
            <w:pPr>
              <w:widowControl w:val="0"/>
              <w:autoSpaceDE w:val="0"/>
              <w:autoSpaceDN w:val="0"/>
              <w:adjustRightInd w:val="0"/>
              <w:jc w:val="center"/>
            </w:pPr>
            <w:r>
              <w:t>Storage temerature</w:t>
            </w:r>
          </w:p>
        </w:tc>
      </w:tr>
    </w:tbl>
    <w:p w:rsidR="000C67F5" w:rsidRDefault="000C67F5"/>
    <w:tbl>
      <w:tblPr>
        <w:tblW w:w="9812" w:type="dxa"/>
        <w:tblLayout w:type="fixed"/>
        <w:tblLook w:val="0000" w:firstRow="0" w:lastRow="0" w:firstColumn="0" w:lastColumn="0" w:noHBand="0" w:noVBand="0"/>
      </w:tblPr>
      <w:tblGrid>
        <w:gridCol w:w="3825"/>
        <w:gridCol w:w="2496"/>
        <w:gridCol w:w="1881"/>
        <w:gridCol w:w="1610"/>
      </w:tblGrid>
      <w:tr w:rsidR="000C67F5">
        <w:tblPrEx>
          <w:tblCellMar>
            <w:top w:w="0" w:type="dxa"/>
            <w:bottom w:w="0" w:type="dxa"/>
          </w:tblCellMar>
        </w:tblPrEx>
        <w:tc>
          <w:tcPr>
            <w:tcW w:w="3825" w:type="dxa"/>
          </w:tcPr>
          <w:p w:rsidR="000C67F5" w:rsidRDefault="000C67F5" w:rsidP="002C3597">
            <w:pPr>
              <w:widowControl w:val="0"/>
              <w:tabs>
                <w:tab w:val="right" w:leader="dot" w:pos="3762"/>
              </w:tabs>
              <w:autoSpaceDE w:val="0"/>
              <w:autoSpaceDN w:val="0"/>
              <w:adjustRightInd w:val="0"/>
            </w:pPr>
            <w:r>
              <w:t>Mix</w:t>
            </w:r>
            <w:r>
              <w:tab/>
            </w:r>
          </w:p>
        </w:tc>
        <w:tc>
          <w:tcPr>
            <w:tcW w:w="2496" w:type="dxa"/>
          </w:tcPr>
          <w:p w:rsidR="000C67F5" w:rsidRDefault="000C67F5" w:rsidP="002C3597">
            <w:pPr>
              <w:widowControl w:val="0"/>
              <w:tabs>
                <w:tab w:val="right" w:leader="dot" w:pos="2403"/>
              </w:tabs>
              <w:autoSpaceDE w:val="0"/>
              <w:autoSpaceDN w:val="0"/>
              <w:adjustRightInd w:val="0"/>
              <w:ind w:left="-72"/>
            </w:pPr>
            <w:r>
              <w:t>50,000/gr</w:t>
            </w:r>
            <w:r>
              <w:tab/>
            </w:r>
          </w:p>
        </w:tc>
        <w:tc>
          <w:tcPr>
            <w:tcW w:w="1881" w:type="dxa"/>
          </w:tcPr>
          <w:p w:rsidR="000C67F5" w:rsidRDefault="000C67F5" w:rsidP="002C3597">
            <w:pPr>
              <w:widowControl w:val="0"/>
              <w:tabs>
                <w:tab w:val="right" w:leader="dot" w:pos="1719"/>
              </w:tabs>
              <w:autoSpaceDE w:val="0"/>
              <w:autoSpaceDN w:val="0"/>
              <w:adjustRightInd w:val="0"/>
              <w:ind w:left="-102" w:right="-108"/>
            </w:pPr>
            <w:r>
              <w:t>10/gr</w:t>
            </w:r>
            <w:r>
              <w:tab/>
            </w:r>
          </w:p>
        </w:tc>
        <w:tc>
          <w:tcPr>
            <w:tcW w:w="1610" w:type="dxa"/>
          </w:tcPr>
          <w:p w:rsidR="000C67F5" w:rsidRDefault="000C67F5" w:rsidP="000C67F5">
            <w:pPr>
              <w:widowControl w:val="0"/>
              <w:autoSpaceDE w:val="0"/>
              <w:autoSpaceDN w:val="0"/>
              <w:adjustRightInd w:val="0"/>
              <w:ind w:left="-101"/>
            </w:pPr>
            <w:r>
              <w:t>45º F.</w:t>
            </w:r>
          </w:p>
        </w:tc>
      </w:tr>
      <w:tr w:rsidR="000C67F5">
        <w:tblPrEx>
          <w:tblCellMar>
            <w:top w:w="0" w:type="dxa"/>
            <w:bottom w:w="0" w:type="dxa"/>
          </w:tblCellMar>
        </w:tblPrEx>
        <w:tc>
          <w:tcPr>
            <w:tcW w:w="3825" w:type="dxa"/>
          </w:tcPr>
          <w:p w:rsidR="000C67F5" w:rsidRDefault="000C67F5" w:rsidP="002C3597">
            <w:pPr>
              <w:widowControl w:val="0"/>
              <w:tabs>
                <w:tab w:val="right" w:leader="dot" w:pos="3762"/>
              </w:tabs>
              <w:autoSpaceDE w:val="0"/>
              <w:autoSpaceDN w:val="0"/>
              <w:adjustRightInd w:val="0"/>
            </w:pPr>
            <w:r>
              <w:t>Frozen Dessert (Plain)</w:t>
            </w:r>
            <w:r>
              <w:tab/>
            </w:r>
          </w:p>
        </w:tc>
        <w:tc>
          <w:tcPr>
            <w:tcW w:w="2496" w:type="dxa"/>
          </w:tcPr>
          <w:p w:rsidR="000C67F5" w:rsidRDefault="000C67F5" w:rsidP="002C3597">
            <w:pPr>
              <w:widowControl w:val="0"/>
              <w:tabs>
                <w:tab w:val="right" w:leader="dot" w:pos="2403"/>
              </w:tabs>
              <w:autoSpaceDE w:val="0"/>
              <w:autoSpaceDN w:val="0"/>
              <w:adjustRightInd w:val="0"/>
              <w:ind w:left="-72"/>
            </w:pPr>
            <w:r>
              <w:t>50,000/gr</w:t>
            </w:r>
            <w:r>
              <w:tab/>
            </w:r>
          </w:p>
        </w:tc>
        <w:tc>
          <w:tcPr>
            <w:tcW w:w="1881" w:type="dxa"/>
          </w:tcPr>
          <w:p w:rsidR="000C67F5" w:rsidRDefault="000C67F5" w:rsidP="002C3597">
            <w:pPr>
              <w:widowControl w:val="0"/>
              <w:tabs>
                <w:tab w:val="right" w:leader="dot" w:pos="1719"/>
              </w:tabs>
              <w:autoSpaceDE w:val="0"/>
              <w:autoSpaceDN w:val="0"/>
              <w:adjustRightInd w:val="0"/>
              <w:ind w:left="-102" w:right="-108"/>
            </w:pPr>
            <w:r>
              <w:t>10/gr</w:t>
            </w:r>
            <w:r>
              <w:tab/>
            </w:r>
          </w:p>
        </w:tc>
        <w:tc>
          <w:tcPr>
            <w:tcW w:w="1610" w:type="dxa"/>
          </w:tcPr>
          <w:p w:rsidR="000C67F5" w:rsidRDefault="000C67F5" w:rsidP="000C67F5">
            <w:pPr>
              <w:widowControl w:val="0"/>
              <w:autoSpaceDE w:val="0"/>
              <w:autoSpaceDN w:val="0"/>
              <w:adjustRightInd w:val="0"/>
              <w:ind w:left="-101"/>
            </w:pPr>
            <w:r>
              <w:t>Frozen</w:t>
            </w:r>
          </w:p>
        </w:tc>
      </w:tr>
      <w:tr w:rsidR="000C67F5">
        <w:tblPrEx>
          <w:tblCellMar>
            <w:top w:w="0" w:type="dxa"/>
            <w:bottom w:w="0" w:type="dxa"/>
          </w:tblCellMar>
        </w:tblPrEx>
        <w:tc>
          <w:tcPr>
            <w:tcW w:w="3825" w:type="dxa"/>
          </w:tcPr>
          <w:p w:rsidR="000C67F5" w:rsidRDefault="000C67F5" w:rsidP="002C3597">
            <w:pPr>
              <w:widowControl w:val="0"/>
              <w:tabs>
                <w:tab w:val="right" w:leader="dot" w:pos="3762"/>
              </w:tabs>
              <w:autoSpaceDE w:val="0"/>
              <w:autoSpaceDN w:val="0"/>
              <w:adjustRightInd w:val="0"/>
            </w:pPr>
            <w:r>
              <w:t>Frozen Dessert (Flavored)</w:t>
            </w:r>
            <w:r>
              <w:tab/>
            </w:r>
          </w:p>
        </w:tc>
        <w:tc>
          <w:tcPr>
            <w:tcW w:w="2496" w:type="dxa"/>
          </w:tcPr>
          <w:p w:rsidR="000C67F5" w:rsidRDefault="000C67F5" w:rsidP="002C3597">
            <w:pPr>
              <w:widowControl w:val="0"/>
              <w:tabs>
                <w:tab w:val="right" w:leader="dot" w:pos="2403"/>
              </w:tabs>
              <w:autoSpaceDE w:val="0"/>
              <w:autoSpaceDN w:val="0"/>
              <w:adjustRightInd w:val="0"/>
              <w:ind w:left="-72"/>
            </w:pPr>
            <w:r>
              <w:t>50,000/gr</w:t>
            </w:r>
            <w:r>
              <w:tab/>
            </w:r>
          </w:p>
        </w:tc>
        <w:tc>
          <w:tcPr>
            <w:tcW w:w="1881" w:type="dxa"/>
          </w:tcPr>
          <w:p w:rsidR="000C67F5" w:rsidRDefault="000C67F5" w:rsidP="002C3597">
            <w:pPr>
              <w:widowControl w:val="0"/>
              <w:tabs>
                <w:tab w:val="right" w:leader="dot" w:pos="1719"/>
              </w:tabs>
              <w:autoSpaceDE w:val="0"/>
              <w:autoSpaceDN w:val="0"/>
              <w:adjustRightInd w:val="0"/>
              <w:ind w:left="-102" w:right="-108"/>
            </w:pPr>
            <w:r>
              <w:t>20/hr</w:t>
            </w:r>
            <w:r>
              <w:tab/>
            </w:r>
          </w:p>
        </w:tc>
        <w:tc>
          <w:tcPr>
            <w:tcW w:w="1610" w:type="dxa"/>
          </w:tcPr>
          <w:p w:rsidR="000C67F5" w:rsidRDefault="000C67F5" w:rsidP="000C67F5">
            <w:pPr>
              <w:widowControl w:val="0"/>
              <w:autoSpaceDE w:val="0"/>
              <w:autoSpaceDN w:val="0"/>
              <w:adjustRightInd w:val="0"/>
              <w:ind w:left="-101"/>
            </w:pPr>
            <w:r>
              <w:t>Frozen</w:t>
            </w:r>
          </w:p>
        </w:tc>
      </w:tr>
      <w:tr w:rsidR="000C67F5">
        <w:tblPrEx>
          <w:tblCellMar>
            <w:top w:w="0" w:type="dxa"/>
            <w:bottom w:w="0" w:type="dxa"/>
          </w:tblCellMar>
        </w:tblPrEx>
        <w:tc>
          <w:tcPr>
            <w:tcW w:w="3825" w:type="dxa"/>
            <w:tcBorders>
              <w:bottom w:val="single" w:sz="4" w:space="0" w:color="auto"/>
            </w:tcBorders>
          </w:tcPr>
          <w:p w:rsidR="002C3597" w:rsidRDefault="000C67F5" w:rsidP="002C3597">
            <w:pPr>
              <w:widowControl w:val="0"/>
              <w:tabs>
                <w:tab w:val="right" w:leader="dot" w:pos="3705"/>
                <w:tab w:val="right" w:leader="dot" w:pos="3762"/>
              </w:tabs>
              <w:autoSpaceDE w:val="0"/>
              <w:autoSpaceDN w:val="0"/>
              <w:adjustRightInd w:val="0"/>
            </w:pPr>
            <w:r>
              <w:t>Raw Milk and Milk Products as</w:t>
            </w:r>
            <w:r w:rsidR="002C3597">
              <w:tab/>
            </w:r>
          </w:p>
          <w:p w:rsidR="000C67F5" w:rsidRDefault="000C67F5" w:rsidP="002C3597">
            <w:pPr>
              <w:widowControl w:val="0"/>
              <w:tabs>
                <w:tab w:val="right" w:leader="dot" w:pos="3705"/>
                <w:tab w:val="right" w:leader="dot" w:pos="3762"/>
              </w:tabs>
              <w:autoSpaceDE w:val="0"/>
              <w:autoSpaceDN w:val="0"/>
              <w:adjustRightInd w:val="0"/>
              <w:ind w:left="171"/>
            </w:pPr>
            <w:r>
              <w:t>Ingredients</w:t>
            </w:r>
          </w:p>
        </w:tc>
        <w:tc>
          <w:tcPr>
            <w:tcW w:w="2496" w:type="dxa"/>
            <w:tcBorders>
              <w:bottom w:val="single" w:sz="4" w:space="0" w:color="auto"/>
            </w:tcBorders>
          </w:tcPr>
          <w:p w:rsidR="000C67F5" w:rsidRDefault="000C67F5" w:rsidP="002C3597">
            <w:pPr>
              <w:widowControl w:val="0"/>
              <w:tabs>
                <w:tab w:val="right" w:leader="dot" w:pos="2457"/>
              </w:tabs>
              <w:autoSpaceDE w:val="0"/>
              <w:autoSpaceDN w:val="0"/>
              <w:adjustRightInd w:val="0"/>
              <w:ind w:left="-72"/>
            </w:pPr>
            <w:r>
              <w:t xml:space="preserve">500,000/gr </w:t>
            </w:r>
            <w:r>
              <w:tab/>
            </w:r>
          </w:p>
          <w:p w:rsidR="002C3597" w:rsidRDefault="000C67F5" w:rsidP="002C3597">
            <w:pPr>
              <w:widowControl w:val="0"/>
              <w:tabs>
                <w:tab w:val="right" w:leader="dot" w:pos="2403"/>
              </w:tabs>
              <w:autoSpaceDE w:val="0"/>
              <w:autoSpaceDN w:val="0"/>
              <w:adjustRightInd w:val="0"/>
              <w:ind w:left="-72"/>
            </w:pPr>
            <w:r>
              <w:t xml:space="preserve">As commingled </w:t>
            </w:r>
          </w:p>
          <w:p w:rsidR="002C3597" w:rsidRDefault="000C67F5" w:rsidP="002C3597">
            <w:pPr>
              <w:widowControl w:val="0"/>
              <w:tabs>
                <w:tab w:val="right" w:leader="dot" w:pos="2403"/>
              </w:tabs>
              <w:autoSpaceDE w:val="0"/>
              <w:autoSpaceDN w:val="0"/>
              <w:adjustRightInd w:val="0"/>
              <w:ind w:left="-72"/>
            </w:pPr>
            <w:r>
              <w:t xml:space="preserve">Prior to </w:t>
            </w:r>
          </w:p>
          <w:p w:rsidR="000C67F5" w:rsidRDefault="000C67F5" w:rsidP="002C3597">
            <w:pPr>
              <w:widowControl w:val="0"/>
              <w:tabs>
                <w:tab w:val="right" w:leader="dot" w:pos="2403"/>
              </w:tabs>
              <w:autoSpaceDE w:val="0"/>
              <w:autoSpaceDN w:val="0"/>
              <w:adjustRightInd w:val="0"/>
              <w:ind w:left="-72"/>
            </w:pPr>
            <w:r>
              <w:t>Pasteurization</w:t>
            </w:r>
          </w:p>
        </w:tc>
        <w:tc>
          <w:tcPr>
            <w:tcW w:w="1881" w:type="dxa"/>
            <w:tcBorders>
              <w:bottom w:val="single" w:sz="4" w:space="0" w:color="auto"/>
            </w:tcBorders>
          </w:tcPr>
          <w:p w:rsidR="000C67F5" w:rsidRDefault="000C67F5" w:rsidP="002C3597">
            <w:pPr>
              <w:widowControl w:val="0"/>
              <w:tabs>
                <w:tab w:val="right" w:leader="dot" w:pos="1719"/>
              </w:tabs>
              <w:autoSpaceDE w:val="0"/>
              <w:autoSpaceDN w:val="0"/>
              <w:adjustRightInd w:val="0"/>
              <w:ind w:left="-138"/>
            </w:pPr>
            <w:r>
              <w:tab/>
            </w:r>
          </w:p>
        </w:tc>
        <w:tc>
          <w:tcPr>
            <w:tcW w:w="1610" w:type="dxa"/>
            <w:tcBorders>
              <w:bottom w:val="single" w:sz="4" w:space="0" w:color="auto"/>
            </w:tcBorders>
          </w:tcPr>
          <w:p w:rsidR="000C67F5" w:rsidRDefault="000C67F5" w:rsidP="000C67F5">
            <w:pPr>
              <w:widowControl w:val="0"/>
              <w:autoSpaceDE w:val="0"/>
              <w:autoSpaceDN w:val="0"/>
              <w:adjustRightInd w:val="0"/>
              <w:ind w:left="-101"/>
            </w:pPr>
            <w:r>
              <w:t>45º F.</w:t>
            </w:r>
          </w:p>
        </w:tc>
      </w:tr>
    </w:tbl>
    <w:p w:rsidR="000C67F5" w:rsidRDefault="000C67F5" w:rsidP="002E46AB">
      <w:pPr>
        <w:widowControl w:val="0"/>
        <w:autoSpaceDE w:val="0"/>
        <w:autoSpaceDN w:val="0"/>
        <w:adjustRightInd w:val="0"/>
      </w:pPr>
    </w:p>
    <w:p w:rsidR="00161AA5" w:rsidRPr="00D55B37" w:rsidRDefault="00161AA5" w:rsidP="00161AA5">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161AA5" w:rsidRPr="00D55B37" w:rsidSect="002E46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6AB"/>
    <w:rsid w:val="000C67F5"/>
    <w:rsid w:val="00161AA5"/>
    <w:rsid w:val="002C3597"/>
    <w:rsid w:val="002E46AB"/>
    <w:rsid w:val="005C3366"/>
    <w:rsid w:val="006879D6"/>
    <w:rsid w:val="007B3E2B"/>
    <w:rsid w:val="00A929DE"/>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1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