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C0A6E" w14:textId="77777777" w:rsidR="008B4643" w:rsidRDefault="008B4643" w:rsidP="008B4643">
      <w:pPr>
        <w:widowControl w:val="0"/>
        <w:autoSpaceDE w:val="0"/>
        <w:autoSpaceDN w:val="0"/>
        <w:adjustRightInd w:val="0"/>
      </w:pPr>
    </w:p>
    <w:p w14:paraId="0EB909A3" w14:textId="77777777" w:rsidR="008B4643" w:rsidRDefault="008B4643" w:rsidP="008B464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690.1200  Death</w:t>
      </w:r>
      <w:proofErr w:type="gramEnd"/>
      <w:r>
        <w:rPr>
          <w:b/>
          <w:bCs/>
        </w:rPr>
        <w:t xml:space="preserve"> of a Person Who Had a Known or Suspected Communicable Disease</w:t>
      </w:r>
      <w:r>
        <w:t xml:space="preserve"> </w:t>
      </w:r>
    </w:p>
    <w:p w14:paraId="6BB3665D" w14:textId="77777777" w:rsidR="008B4643" w:rsidRDefault="008B4643" w:rsidP="008B4643">
      <w:pPr>
        <w:widowControl w:val="0"/>
        <w:autoSpaceDE w:val="0"/>
        <w:autoSpaceDN w:val="0"/>
        <w:adjustRightInd w:val="0"/>
      </w:pPr>
    </w:p>
    <w:p w14:paraId="5C6AE7CF" w14:textId="0F1B52D7" w:rsidR="0046302D" w:rsidRDefault="00F73CDF" w:rsidP="0046302D">
      <w:pPr>
        <w:widowControl w:val="0"/>
        <w:autoSpaceDE w:val="0"/>
        <w:autoSpaceDN w:val="0"/>
        <w:adjustRightInd w:val="0"/>
        <w:ind w:left="18"/>
      </w:pPr>
      <w:r w:rsidRPr="00F73CDF">
        <w:t>Upon the</w:t>
      </w:r>
      <w:r w:rsidR="008B4643">
        <w:rPr>
          <w:i/>
          <w:iCs/>
        </w:rPr>
        <w:t xml:space="preserve"> death of a person who had or is suspected of having an infectious or communicable disease</w:t>
      </w:r>
      <w:r w:rsidR="008B4643">
        <w:t xml:space="preserve"> or who was known to be a carrier or known to be </w:t>
      </w:r>
      <w:proofErr w:type="spellStart"/>
      <w:r w:rsidR="008B4643">
        <w:t>subclinically</w:t>
      </w:r>
      <w:proofErr w:type="spellEnd"/>
      <w:r w:rsidR="008B4643">
        <w:t xml:space="preserve"> infected with a disease </w:t>
      </w:r>
      <w:r w:rsidR="008B4643">
        <w:rPr>
          <w:i/>
          <w:iCs/>
        </w:rPr>
        <w:t xml:space="preserve">that could be transmitted through contact with the person's body or bodily fluids, the body shall be labeled </w:t>
      </w:r>
      <w:r>
        <w:rPr>
          <w:i/>
          <w:iCs/>
        </w:rPr>
        <w:t>"Infection Hazard"</w:t>
      </w:r>
      <w:r w:rsidR="008B4643">
        <w:rPr>
          <w:i/>
          <w:iCs/>
        </w:rPr>
        <w:t>, or with an equivalent term to inform persons having subsequent contact with the body, including any funeral director or embalmer, to take suitable precautions.</w:t>
      </w:r>
      <w:r w:rsidR="008B4643">
        <w:t xml:space="preserve"> </w:t>
      </w:r>
    </w:p>
    <w:p w14:paraId="0C4BCAF1" w14:textId="77777777" w:rsidR="003A0F30" w:rsidRDefault="003A0F30" w:rsidP="0046302D">
      <w:pPr>
        <w:widowControl w:val="0"/>
        <w:autoSpaceDE w:val="0"/>
        <w:autoSpaceDN w:val="0"/>
        <w:adjustRightInd w:val="0"/>
        <w:ind w:left="18"/>
      </w:pPr>
    </w:p>
    <w:p w14:paraId="52B531C0" w14:textId="77777777" w:rsidR="0046302D" w:rsidRDefault="008B4643" w:rsidP="004630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label shall be prominently displayed on and affixed to the outer wrapping or covering of the body if the body is wrapped or covered in any manner.</w:t>
      </w:r>
      <w:r>
        <w:t xml:space="preserve"> </w:t>
      </w:r>
    </w:p>
    <w:p w14:paraId="0C42876B" w14:textId="77777777" w:rsidR="003A0F30" w:rsidRDefault="003A0F30" w:rsidP="003A140B">
      <w:pPr>
        <w:widowControl w:val="0"/>
        <w:autoSpaceDE w:val="0"/>
        <w:autoSpaceDN w:val="0"/>
        <w:adjustRightInd w:val="0"/>
      </w:pPr>
    </w:p>
    <w:p w14:paraId="6F51C03A" w14:textId="573210CD" w:rsidR="008B4643" w:rsidRDefault="008B4643" w:rsidP="004630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46302D">
        <w:tab/>
      </w:r>
      <w:r>
        <w:rPr>
          <w:i/>
          <w:iCs/>
        </w:rPr>
        <w:t>Responsibility for such labeling shall lie with the attending physician</w:t>
      </w:r>
      <w:r w:rsidR="00F73CDF" w:rsidRPr="00F73CDF">
        <w:rPr>
          <w:i/>
          <w:iCs/>
        </w:rPr>
        <w:t>, advanced practice registered nurse, or physician assistant</w:t>
      </w:r>
      <w:r>
        <w:t xml:space="preserve"> </w:t>
      </w:r>
      <w:r>
        <w:rPr>
          <w:i/>
          <w:iCs/>
        </w:rPr>
        <w:t>who certifies death, or if the death occurs in a health care facility, with such staff member as may be designated by the administrator of the facility.</w:t>
      </w:r>
      <w:r>
        <w:t xml:space="preserve"> [20 </w:t>
      </w:r>
      <w:proofErr w:type="spellStart"/>
      <w:r>
        <w:t>ILCS</w:t>
      </w:r>
      <w:proofErr w:type="spellEnd"/>
      <w:r>
        <w:t xml:space="preserve"> 2305/7] </w:t>
      </w:r>
    </w:p>
    <w:p w14:paraId="2E485F4B" w14:textId="77777777" w:rsidR="003A0F30" w:rsidRDefault="003A0F30" w:rsidP="003A140B">
      <w:pPr>
        <w:widowControl w:val="0"/>
        <w:autoSpaceDE w:val="0"/>
        <w:autoSpaceDN w:val="0"/>
        <w:adjustRightInd w:val="0"/>
      </w:pPr>
    </w:p>
    <w:p w14:paraId="297C7B37" w14:textId="4B3A5950" w:rsidR="008B4643" w:rsidRDefault="008B4643" w:rsidP="008B464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Suitable precautions consist of following the guidelines of CDC </w:t>
      </w:r>
      <w:r w:rsidR="00F73CDF" w:rsidRPr="00F73CDF">
        <w:t>"Updated U.S. Public Health Service Guidelines for the Management of Occupational Exposures to HBV, HCV, and HIV and Recommendations for Postexposure Prophylaxis."</w:t>
      </w:r>
      <w:r>
        <w:t xml:space="preserve"> (See Section </w:t>
      </w:r>
      <w:r w:rsidR="00F73CDF">
        <w:t>690.20</w:t>
      </w:r>
      <w:r>
        <w:t xml:space="preserve">(a)(2)) </w:t>
      </w:r>
    </w:p>
    <w:p w14:paraId="278FC4F3" w14:textId="77777777" w:rsidR="008B4643" w:rsidRDefault="008B4643" w:rsidP="003A140B">
      <w:pPr>
        <w:widowControl w:val="0"/>
        <w:autoSpaceDE w:val="0"/>
        <w:autoSpaceDN w:val="0"/>
        <w:adjustRightInd w:val="0"/>
      </w:pPr>
    </w:p>
    <w:p w14:paraId="51835B31" w14:textId="5E131705" w:rsidR="008B4643" w:rsidRDefault="00F73CDF" w:rsidP="008B4643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AF6D16">
        <w:t>8</w:t>
      </w:r>
      <w:r w:rsidRPr="00FD1AD2">
        <w:t xml:space="preserve"> Ill. Reg. </w:t>
      </w:r>
      <w:r w:rsidR="00164785">
        <w:t>4098</w:t>
      </w:r>
      <w:r w:rsidRPr="00FD1AD2">
        <w:t xml:space="preserve">, effective </w:t>
      </w:r>
      <w:r w:rsidR="00164785">
        <w:t>February 27, 2024</w:t>
      </w:r>
      <w:r w:rsidRPr="00FD1AD2">
        <w:t>)</w:t>
      </w:r>
    </w:p>
    <w:sectPr w:rsidR="008B4643" w:rsidSect="008B46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4643"/>
    <w:rsid w:val="00164785"/>
    <w:rsid w:val="00190D89"/>
    <w:rsid w:val="002A45F2"/>
    <w:rsid w:val="003A0F30"/>
    <w:rsid w:val="003A140B"/>
    <w:rsid w:val="0046302D"/>
    <w:rsid w:val="0058636D"/>
    <w:rsid w:val="005C3366"/>
    <w:rsid w:val="008B4643"/>
    <w:rsid w:val="00A6182F"/>
    <w:rsid w:val="00AF6D16"/>
    <w:rsid w:val="00F7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F258A2"/>
  <w15:docId w15:val="{03A76C8E-430F-4A0E-872F-6683863E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General Assembly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5</cp:revision>
  <dcterms:created xsi:type="dcterms:W3CDTF">2024-02-08T21:31:00Z</dcterms:created>
  <dcterms:modified xsi:type="dcterms:W3CDTF">2024-03-15T15:09:00Z</dcterms:modified>
</cp:coreProperties>
</file>