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6E" w:rsidRDefault="0085136E" w:rsidP="00D316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1635" w:rsidRDefault="00D31635" w:rsidP="00D31635">
      <w:pPr>
        <w:widowControl w:val="0"/>
        <w:autoSpaceDE w:val="0"/>
        <w:autoSpaceDN w:val="0"/>
        <w:adjustRightInd w:val="0"/>
      </w:pPr>
      <w:r>
        <w:t xml:space="preserve">AUTHORITY:  Implementing and authorized by the WIC Vendor Management Act [410 ILCS 255]. </w:t>
      </w:r>
    </w:p>
    <w:sectPr w:rsidR="00D31635" w:rsidSect="00D3163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52E"/>
    <w:rsid w:val="004B38CA"/>
    <w:rsid w:val="0053052E"/>
    <w:rsid w:val="006D17F7"/>
    <w:rsid w:val="00817FD3"/>
    <w:rsid w:val="0085136E"/>
    <w:rsid w:val="00A358E1"/>
    <w:rsid w:val="00D17048"/>
    <w:rsid w:val="00D31635"/>
    <w:rsid w:val="00E5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3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3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WIC Vendor Management Act [410 ILCS 255]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WIC Vendor Management Act [410 ILCS 255]</dc:title>
  <dc:subject/>
  <dc:creator>LambTR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