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2F" w:rsidRDefault="0099562F" w:rsidP="009956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62F" w:rsidRDefault="0099562F" w:rsidP="0099562F">
      <w:pPr>
        <w:widowControl w:val="0"/>
        <w:autoSpaceDE w:val="0"/>
        <w:autoSpaceDN w:val="0"/>
        <w:adjustRightInd w:val="0"/>
        <w:jc w:val="center"/>
      </w:pPr>
      <w:r>
        <w:t>SUBPART C:  GRANTS TO HOSPITALS LOCATED IN MEDICALLY UNDERSERVED AREAS</w:t>
      </w:r>
      <w:r w:rsidR="00704968">
        <w:t xml:space="preserve"> </w:t>
      </w:r>
      <w:r>
        <w:t>OR HEALTH PROFESSIONAL SHORTAGE AREAS</w:t>
      </w:r>
    </w:p>
    <w:sectPr w:rsidR="0099562F" w:rsidSect="00995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62F"/>
    <w:rsid w:val="001722A8"/>
    <w:rsid w:val="00243373"/>
    <w:rsid w:val="0030456C"/>
    <w:rsid w:val="005C3366"/>
    <w:rsid w:val="00704968"/>
    <w:rsid w:val="009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GRANTS TO HOSPITALS LOCATED IN MEDICALLY UNDERSERVED AREAS OR HEALTH PROFESSIONAL SHORTAGE AREAS</vt:lpstr>
    </vt:vector>
  </TitlesOfParts>
  <Company>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GRANTS TO HOSPITALS LOCATED IN MEDICALLY UNDERSERVED AREAS OR HEALTH PROFESSIONAL SHORTAGE AREAS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