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4FC" w:rsidRDefault="007124FC" w:rsidP="007124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24FC" w:rsidRDefault="007124FC" w:rsidP="007124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490.840  Referral of Specimens for Examination</w:t>
      </w:r>
      <w:r>
        <w:t xml:space="preserve"> </w:t>
      </w:r>
    </w:p>
    <w:p w:rsidR="007124FC" w:rsidRDefault="007124FC" w:rsidP="007124FC">
      <w:pPr>
        <w:widowControl w:val="0"/>
        <w:autoSpaceDE w:val="0"/>
        <w:autoSpaceDN w:val="0"/>
        <w:adjustRightInd w:val="0"/>
      </w:pPr>
    </w:p>
    <w:p w:rsidR="007124FC" w:rsidRDefault="007124FC" w:rsidP="007124FC">
      <w:pPr>
        <w:widowControl w:val="0"/>
        <w:autoSpaceDE w:val="0"/>
        <w:autoSpaceDN w:val="0"/>
        <w:adjustRightInd w:val="0"/>
      </w:pPr>
      <w:r>
        <w:t xml:space="preserve">All specimens accepted by a blood bank shall be tested on its premises. However, specimens for infrequently performed tests or confirmatory tests or tests related to non-immunohematologic processing of blood for transfusion may be forwarded for examination to another blood bank licensed under this Act, or to a clinical laboratory licensed under the Illinois Clinical Laboratory Act, or to any blood bank specifically exempt from the Act (See Section 7-103 of the Act). </w:t>
      </w:r>
    </w:p>
    <w:sectPr w:rsidR="007124FC" w:rsidSect="007124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24FC"/>
    <w:rsid w:val="002D0D62"/>
    <w:rsid w:val="004857E7"/>
    <w:rsid w:val="004A5C36"/>
    <w:rsid w:val="005C3366"/>
    <w:rsid w:val="0071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490</vt:lpstr>
    </vt:vector>
  </TitlesOfParts>
  <Company>State of Illinois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490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