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63" w:rsidRDefault="00AC3863" w:rsidP="00AC38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863" w:rsidRDefault="00AC3863" w:rsidP="00AC38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490.740  Labeling</w:t>
      </w:r>
      <w:r>
        <w:t xml:space="preserve"> </w:t>
      </w:r>
    </w:p>
    <w:p w:rsidR="00AC3863" w:rsidRDefault="00AC3863" w:rsidP="00AC3863">
      <w:pPr>
        <w:widowControl w:val="0"/>
        <w:autoSpaceDE w:val="0"/>
        <w:autoSpaceDN w:val="0"/>
        <w:adjustRightInd w:val="0"/>
      </w:pPr>
    </w:p>
    <w:p w:rsidR="00AC3863" w:rsidRDefault="00AC3863" w:rsidP="00AC3863">
      <w:pPr>
        <w:widowControl w:val="0"/>
        <w:autoSpaceDE w:val="0"/>
        <w:autoSpaceDN w:val="0"/>
        <w:adjustRightInd w:val="0"/>
      </w:pPr>
      <w:r>
        <w:t xml:space="preserve">Containers holding finished products from the blood bank for infusion into humans shall be labeled in accordance with FDA standards (21 CFR 606)(1987). </w:t>
      </w:r>
    </w:p>
    <w:sectPr w:rsidR="00AC3863" w:rsidSect="00AC38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863"/>
    <w:rsid w:val="004F136F"/>
    <w:rsid w:val="005C3366"/>
    <w:rsid w:val="00873A94"/>
    <w:rsid w:val="00AC3863"/>
    <w:rsid w:val="00A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490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490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