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D762" w14:textId="77777777" w:rsidR="00627D78" w:rsidRDefault="00627D78" w:rsidP="00627D78">
      <w:pPr>
        <w:widowControl w:val="0"/>
        <w:autoSpaceDE w:val="0"/>
        <w:autoSpaceDN w:val="0"/>
        <w:adjustRightInd w:val="0"/>
      </w:pPr>
    </w:p>
    <w:p w14:paraId="25DBB574" w14:textId="77777777" w:rsidR="00627D78" w:rsidRDefault="00627D78" w:rsidP="00627D78">
      <w:pPr>
        <w:widowControl w:val="0"/>
        <w:autoSpaceDE w:val="0"/>
        <w:autoSpaceDN w:val="0"/>
        <w:adjustRightInd w:val="0"/>
      </w:pPr>
      <w:r>
        <w:rPr>
          <w:b/>
          <w:bCs/>
        </w:rPr>
        <w:t xml:space="preserve">Section </w:t>
      </w:r>
      <w:proofErr w:type="gramStart"/>
      <w:r>
        <w:rPr>
          <w:b/>
          <w:bCs/>
        </w:rPr>
        <w:t>465.380  Standards</w:t>
      </w:r>
      <w:proofErr w:type="gramEnd"/>
      <w:r>
        <w:rPr>
          <w:b/>
          <w:bCs/>
        </w:rPr>
        <w:t xml:space="preserve"> for Laboratory Pure Water</w:t>
      </w:r>
      <w:r>
        <w:t xml:space="preserve"> </w:t>
      </w:r>
    </w:p>
    <w:p w14:paraId="78CCD75D" w14:textId="77777777" w:rsidR="00D41938" w:rsidRDefault="00D41938" w:rsidP="00D41938">
      <w:pPr>
        <w:widowControl w:val="0"/>
        <w:autoSpaceDE w:val="0"/>
        <w:autoSpaceDN w:val="0"/>
        <w:adjustRightInd w:val="0"/>
      </w:pPr>
    </w:p>
    <w:p w14:paraId="656EFBC6" w14:textId="77777777" w:rsidR="00D41938" w:rsidRDefault="00D41938" w:rsidP="00D41938">
      <w:pPr>
        <w:widowControl w:val="0"/>
        <w:autoSpaceDE w:val="0"/>
        <w:autoSpaceDN w:val="0"/>
        <w:adjustRightInd w:val="0"/>
      </w:pPr>
      <w:r>
        <w:t xml:space="preserve">The following standards shall apply to all laboratory pure water: </w:t>
      </w:r>
    </w:p>
    <w:p w14:paraId="6DBDD7D5" w14:textId="77777777" w:rsidR="007273EF" w:rsidRDefault="007273EF" w:rsidP="00D41938">
      <w:pPr>
        <w:widowControl w:val="0"/>
        <w:autoSpaceDE w:val="0"/>
        <w:autoSpaceDN w:val="0"/>
        <w:adjustRightInd w:val="0"/>
      </w:pPr>
    </w:p>
    <w:p w14:paraId="270DFEB7" w14:textId="77777777" w:rsidR="00D41938" w:rsidRDefault="00D41938" w:rsidP="00D41938">
      <w:pPr>
        <w:widowControl w:val="0"/>
        <w:autoSpaceDE w:val="0"/>
        <w:autoSpaceDN w:val="0"/>
        <w:adjustRightInd w:val="0"/>
        <w:ind w:left="1440" w:hanging="720"/>
      </w:pPr>
      <w:r>
        <w:t>a)</w:t>
      </w:r>
      <w:r>
        <w:tab/>
        <w:t xml:space="preserve">Laboratory pure water shall have these characteristics: </w:t>
      </w:r>
    </w:p>
    <w:p w14:paraId="5EF18187" w14:textId="77777777" w:rsidR="00D41938" w:rsidRDefault="00D41938" w:rsidP="00DE0119">
      <w:pPr>
        <w:widowControl w:val="0"/>
        <w:autoSpaceDE w:val="0"/>
        <w:autoSpaceDN w:val="0"/>
        <w:adjustRightInd w:val="0"/>
      </w:pP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387"/>
        <w:gridCol w:w="1368"/>
      </w:tblGrid>
      <w:tr w:rsidR="00B94BD9" w:rsidRPr="00A325AC" w14:paraId="7BC69673" w14:textId="77777777" w:rsidTr="00074B89">
        <w:tc>
          <w:tcPr>
            <w:tcW w:w="2970" w:type="dxa"/>
            <w:tcBorders>
              <w:top w:val="single" w:sz="4" w:space="0" w:color="auto"/>
              <w:left w:val="single" w:sz="4" w:space="0" w:color="auto"/>
              <w:bottom w:val="single" w:sz="4" w:space="0" w:color="auto"/>
              <w:right w:val="single" w:sz="4" w:space="0" w:color="auto"/>
            </w:tcBorders>
          </w:tcPr>
          <w:p w14:paraId="72030A15" w14:textId="77777777" w:rsidR="00B94BD9" w:rsidRPr="001A3EBC" w:rsidRDefault="00B94BD9" w:rsidP="00B94BD9">
            <w:pPr>
              <w:jc w:val="center"/>
              <w:rPr>
                <w:b/>
                <w:bCs/>
              </w:rPr>
            </w:pPr>
            <w:r w:rsidRPr="001A3EBC">
              <w:rPr>
                <w:b/>
                <w:bCs/>
              </w:rPr>
              <w:t>Parameter</w:t>
            </w:r>
          </w:p>
        </w:tc>
        <w:tc>
          <w:tcPr>
            <w:tcW w:w="3387" w:type="dxa"/>
            <w:tcBorders>
              <w:top w:val="single" w:sz="4" w:space="0" w:color="auto"/>
              <w:left w:val="single" w:sz="4" w:space="0" w:color="auto"/>
              <w:bottom w:val="single" w:sz="4" w:space="0" w:color="auto"/>
              <w:right w:val="single" w:sz="4" w:space="0" w:color="auto"/>
            </w:tcBorders>
          </w:tcPr>
          <w:p w14:paraId="79A6B2FF" w14:textId="77777777" w:rsidR="00B94BD9" w:rsidRPr="001A3EBC" w:rsidRDefault="00B94BD9" w:rsidP="00B94BD9">
            <w:pPr>
              <w:jc w:val="center"/>
              <w:rPr>
                <w:b/>
                <w:bCs/>
              </w:rPr>
            </w:pPr>
            <w:r w:rsidRPr="001A3EBC">
              <w:rPr>
                <w:b/>
                <w:bCs/>
              </w:rPr>
              <w:t>Limits</w:t>
            </w:r>
          </w:p>
        </w:tc>
        <w:tc>
          <w:tcPr>
            <w:tcW w:w="1368" w:type="dxa"/>
            <w:tcBorders>
              <w:top w:val="single" w:sz="4" w:space="0" w:color="auto"/>
              <w:left w:val="single" w:sz="4" w:space="0" w:color="auto"/>
              <w:bottom w:val="single" w:sz="4" w:space="0" w:color="auto"/>
              <w:right w:val="single" w:sz="4" w:space="0" w:color="auto"/>
            </w:tcBorders>
          </w:tcPr>
          <w:p w14:paraId="0B2DEC15" w14:textId="77777777" w:rsidR="00B94BD9" w:rsidRPr="001A3EBC" w:rsidRDefault="00B94BD9" w:rsidP="00B94BD9">
            <w:pPr>
              <w:jc w:val="center"/>
              <w:rPr>
                <w:b/>
                <w:bCs/>
              </w:rPr>
            </w:pPr>
            <w:r w:rsidRPr="001A3EBC">
              <w:rPr>
                <w:b/>
                <w:bCs/>
              </w:rPr>
              <w:t>Frequency</w:t>
            </w:r>
          </w:p>
        </w:tc>
      </w:tr>
      <w:tr w:rsidR="00B94BD9" w:rsidRPr="00A325AC" w14:paraId="43A10B62" w14:textId="77777777" w:rsidTr="00074B89">
        <w:tc>
          <w:tcPr>
            <w:tcW w:w="2970" w:type="dxa"/>
            <w:tcBorders>
              <w:top w:val="single" w:sz="4" w:space="0" w:color="auto"/>
              <w:left w:val="single" w:sz="4" w:space="0" w:color="auto"/>
              <w:bottom w:val="single" w:sz="4" w:space="0" w:color="auto"/>
              <w:right w:val="single" w:sz="4" w:space="0" w:color="auto"/>
            </w:tcBorders>
          </w:tcPr>
          <w:p w14:paraId="0C86BC28" w14:textId="77777777" w:rsidR="00B94BD9" w:rsidRPr="001A3EBC" w:rsidRDefault="00B94BD9" w:rsidP="00B94BD9">
            <w:r w:rsidRPr="001A3EBC">
              <w:t>Conductivity</w:t>
            </w:r>
          </w:p>
        </w:tc>
        <w:tc>
          <w:tcPr>
            <w:tcW w:w="3387" w:type="dxa"/>
            <w:tcBorders>
              <w:top w:val="single" w:sz="4" w:space="0" w:color="auto"/>
              <w:left w:val="single" w:sz="4" w:space="0" w:color="auto"/>
              <w:bottom w:val="single" w:sz="4" w:space="0" w:color="auto"/>
              <w:right w:val="single" w:sz="4" w:space="0" w:color="auto"/>
            </w:tcBorders>
          </w:tcPr>
          <w:p w14:paraId="27ED001B" w14:textId="77777777" w:rsidR="00B94BD9" w:rsidRPr="001A3EBC" w:rsidRDefault="00B94BD9" w:rsidP="00B94BD9">
            <w:r w:rsidRPr="001A3EBC">
              <w:t>&gt;0.5 megohms resistance or &lt;2 micromhos/cm at 25°</w:t>
            </w:r>
            <w:r w:rsidR="009C6E62" w:rsidRPr="001A3EBC">
              <w:t xml:space="preserve"> </w:t>
            </w:r>
            <w:r w:rsidRPr="001A3EBC">
              <w:t>C</w:t>
            </w:r>
          </w:p>
        </w:tc>
        <w:tc>
          <w:tcPr>
            <w:tcW w:w="1368" w:type="dxa"/>
            <w:tcBorders>
              <w:top w:val="single" w:sz="4" w:space="0" w:color="auto"/>
              <w:left w:val="single" w:sz="4" w:space="0" w:color="auto"/>
              <w:bottom w:val="single" w:sz="4" w:space="0" w:color="auto"/>
              <w:right w:val="single" w:sz="4" w:space="0" w:color="auto"/>
            </w:tcBorders>
          </w:tcPr>
          <w:p w14:paraId="4A29E0C7" w14:textId="77777777" w:rsidR="00B94BD9" w:rsidRPr="001A3EBC" w:rsidRDefault="00B94BD9" w:rsidP="00B94BD9">
            <w:pPr>
              <w:jc w:val="center"/>
            </w:pPr>
            <w:r w:rsidRPr="001A3EBC">
              <w:t>Monthly</w:t>
            </w:r>
          </w:p>
        </w:tc>
      </w:tr>
      <w:tr w:rsidR="00B94BD9" w:rsidRPr="00A325AC" w14:paraId="25A87AC5" w14:textId="77777777" w:rsidTr="00074B89">
        <w:tc>
          <w:tcPr>
            <w:tcW w:w="2970" w:type="dxa"/>
            <w:tcBorders>
              <w:top w:val="single" w:sz="4" w:space="0" w:color="auto"/>
              <w:left w:val="single" w:sz="4" w:space="0" w:color="auto"/>
              <w:bottom w:val="single" w:sz="4" w:space="0" w:color="auto"/>
              <w:right w:val="single" w:sz="4" w:space="0" w:color="auto"/>
            </w:tcBorders>
          </w:tcPr>
          <w:p w14:paraId="143E8752" w14:textId="77777777" w:rsidR="00B94BD9" w:rsidRPr="001A3EBC" w:rsidRDefault="00B94BD9" w:rsidP="00B94BD9">
            <w:r w:rsidRPr="001A3EBC">
              <w:t>Cd,</w:t>
            </w:r>
            <w:r w:rsidR="009C6E62" w:rsidRPr="001A3EBC">
              <w:t xml:space="preserve"> </w:t>
            </w:r>
            <w:r w:rsidRPr="001A3EBC">
              <w:t>Cr,</w:t>
            </w:r>
            <w:r w:rsidR="009C6E62" w:rsidRPr="001A3EBC">
              <w:t xml:space="preserve"> </w:t>
            </w:r>
            <w:r w:rsidRPr="001A3EBC">
              <w:t>Cu,</w:t>
            </w:r>
            <w:r w:rsidR="009C6E62" w:rsidRPr="001A3EBC">
              <w:t xml:space="preserve"> </w:t>
            </w:r>
            <w:r w:rsidRPr="001A3EBC">
              <w:t>Pb,</w:t>
            </w:r>
            <w:r w:rsidR="009C6E62" w:rsidRPr="001A3EBC">
              <w:t xml:space="preserve"> </w:t>
            </w:r>
            <w:r w:rsidRPr="001A3EBC">
              <w:t>Ni,</w:t>
            </w:r>
            <w:r w:rsidR="009C6E62" w:rsidRPr="001A3EBC">
              <w:t xml:space="preserve"> </w:t>
            </w:r>
            <w:r w:rsidRPr="001A3EBC">
              <w:t>Zn</w:t>
            </w:r>
          </w:p>
        </w:tc>
        <w:tc>
          <w:tcPr>
            <w:tcW w:w="3387" w:type="dxa"/>
            <w:tcBorders>
              <w:top w:val="single" w:sz="4" w:space="0" w:color="auto"/>
              <w:left w:val="single" w:sz="4" w:space="0" w:color="auto"/>
              <w:bottom w:val="single" w:sz="4" w:space="0" w:color="auto"/>
              <w:right w:val="single" w:sz="4" w:space="0" w:color="auto"/>
            </w:tcBorders>
          </w:tcPr>
          <w:p w14:paraId="3DDA0AAA" w14:textId="77777777" w:rsidR="00B94BD9" w:rsidRPr="001A3EBC" w:rsidRDefault="00B94BD9" w:rsidP="00B94BD9">
            <w:r w:rsidRPr="001A3EBC">
              <w:t>Not greater than 0.05 mg/L per contaminant. Collectively, no greater than 0.1 mg/L</w:t>
            </w:r>
          </w:p>
        </w:tc>
        <w:tc>
          <w:tcPr>
            <w:tcW w:w="1368" w:type="dxa"/>
            <w:tcBorders>
              <w:top w:val="single" w:sz="4" w:space="0" w:color="auto"/>
              <w:left w:val="single" w:sz="4" w:space="0" w:color="auto"/>
              <w:bottom w:val="single" w:sz="4" w:space="0" w:color="auto"/>
              <w:right w:val="single" w:sz="4" w:space="0" w:color="auto"/>
            </w:tcBorders>
          </w:tcPr>
          <w:p w14:paraId="70D7E63C" w14:textId="77777777" w:rsidR="00B94BD9" w:rsidRPr="001A3EBC" w:rsidRDefault="00B94BD9" w:rsidP="00B94BD9">
            <w:pPr>
              <w:jc w:val="center"/>
            </w:pPr>
            <w:r w:rsidRPr="001A3EBC">
              <w:t>Annually</w:t>
            </w:r>
          </w:p>
        </w:tc>
      </w:tr>
      <w:tr w:rsidR="00B94BD9" w:rsidRPr="00A325AC" w14:paraId="3E0D6C08" w14:textId="77777777" w:rsidTr="00074B89">
        <w:tc>
          <w:tcPr>
            <w:tcW w:w="2970" w:type="dxa"/>
            <w:tcBorders>
              <w:top w:val="single" w:sz="4" w:space="0" w:color="auto"/>
              <w:left w:val="single" w:sz="4" w:space="0" w:color="auto"/>
              <w:bottom w:val="single" w:sz="4" w:space="0" w:color="auto"/>
              <w:right w:val="single" w:sz="4" w:space="0" w:color="auto"/>
            </w:tcBorders>
          </w:tcPr>
          <w:p w14:paraId="4B7A8B7E" w14:textId="77777777" w:rsidR="00B94BD9" w:rsidRPr="001A3EBC" w:rsidRDefault="00B94BD9" w:rsidP="00B94BD9">
            <w:r w:rsidRPr="001A3EBC">
              <w:t xml:space="preserve">Total Chlorine Residual </w:t>
            </w:r>
            <w:r w:rsidRPr="001A3EBC">
              <w:rPr>
                <w:bCs/>
                <w:vertAlign w:val="superscript"/>
              </w:rPr>
              <w:t>1</w:t>
            </w:r>
          </w:p>
        </w:tc>
        <w:tc>
          <w:tcPr>
            <w:tcW w:w="3387" w:type="dxa"/>
            <w:tcBorders>
              <w:top w:val="single" w:sz="4" w:space="0" w:color="auto"/>
              <w:left w:val="single" w:sz="4" w:space="0" w:color="auto"/>
              <w:bottom w:val="single" w:sz="4" w:space="0" w:color="auto"/>
              <w:right w:val="single" w:sz="4" w:space="0" w:color="auto"/>
            </w:tcBorders>
          </w:tcPr>
          <w:p w14:paraId="374635E5" w14:textId="77777777" w:rsidR="00B94BD9" w:rsidRPr="001A3EBC" w:rsidRDefault="00B94BD9" w:rsidP="00B94BD9">
            <w:r w:rsidRPr="001A3EBC">
              <w:t>&lt;0.1 mg/L</w:t>
            </w:r>
          </w:p>
        </w:tc>
        <w:tc>
          <w:tcPr>
            <w:tcW w:w="1368" w:type="dxa"/>
            <w:tcBorders>
              <w:top w:val="single" w:sz="4" w:space="0" w:color="auto"/>
              <w:left w:val="single" w:sz="4" w:space="0" w:color="auto"/>
              <w:bottom w:val="single" w:sz="4" w:space="0" w:color="auto"/>
              <w:right w:val="single" w:sz="4" w:space="0" w:color="auto"/>
            </w:tcBorders>
          </w:tcPr>
          <w:p w14:paraId="1B8E52DB" w14:textId="77777777" w:rsidR="00B94BD9" w:rsidRPr="001A3EBC" w:rsidRDefault="00B94BD9" w:rsidP="00B94BD9">
            <w:pPr>
              <w:jc w:val="center"/>
            </w:pPr>
            <w:r w:rsidRPr="001A3EBC">
              <w:t>Monthly</w:t>
            </w:r>
          </w:p>
        </w:tc>
      </w:tr>
      <w:tr w:rsidR="00B94BD9" w:rsidRPr="00A325AC" w14:paraId="66C407D8" w14:textId="77777777" w:rsidTr="00074B89">
        <w:tc>
          <w:tcPr>
            <w:tcW w:w="2970" w:type="dxa"/>
            <w:tcBorders>
              <w:top w:val="single" w:sz="4" w:space="0" w:color="auto"/>
              <w:left w:val="single" w:sz="4" w:space="0" w:color="auto"/>
              <w:bottom w:val="single" w:sz="4" w:space="0" w:color="auto"/>
              <w:right w:val="single" w:sz="4" w:space="0" w:color="auto"/>
            </w:tcBorders>
          </w:tcPr>
          <w:p w14:paraId="23F64BE5" w14:textId="77777777" w:rsidR="00B94BD9" w:rsidRPr="001A3EBC" w:rsidRDefault="00B94BD9" w:rsidP="00B94BD9">
            <w:r w:rsidRPr="001A3EBC">
              <w:t xml:space="preserve">Heterotrophic Plate Count </w:t>
            </w:r>
            <w:r w:rsidRPr="001A3EBC">
              <w:rPr>
                <w:bCs/>
                <w:vertAlign w:val="superscript"/>
              </w:rPr>
              <w:t>2</w:t>
            </w:r>
          </w:p>
        </w:tc>
        <w:tc>
          <w:tcPr>
            <w:tcW w:w="3387" w:type="dxa"/>
            <w:tcBorders>
              <w:top w:val="single" w:sz="4" w:space="0" w:color="auto"/>
              <w:left w:val="single" w:sz="4" w:space="0" w:color="auto"/>
              <w:bottom w:val="single" w:sz="4" w:space="0" w:color="auto"/>
              <w:right w:val="single" w:sz="4" w:space="0" w:color="auto"/>
            </w:tcBorders>
          </w:tcPr>
          <w:p w14:paraId="3ACA53A1" w14:textId="77777777" w:rsidR="00B94BD9" w:rsidRPr="001A3EBC" w:rsidRDefault="00B94BD9" w:rsidP="00B94BD9">
            <w:r w:rsidRPr="001A3EBC">
              <w:t xml:space="preserve">&lt;500 </w:t>
            </w:r>
            <w:proofErr w:type="spellStart"/>
            <w:r w:rsidRPr="001A3EBC">
              <w:t>CFU</w:t>
            </w:r>
            <w:proofErr w:type="spellEnd"/>
            <w:r w:rsidRPr="001A3EBC">
              <w:t>/mL</w:t>
            </w:r>
          </w:p>
        </w:tc>
        <w:tc>
          <w:tcPr>
            <w:tcW w:w="1368" w:type="dxa"/>
            <w:tcBorders>
              <w:top w:val="single" w:sz="4" w:space="0" w:color="auto"/>
              <w:left w:val="single" w:sz="4" w:space="0" w:color="auto"/>
              <w:bottom w:val="single" w:sz="4" w:space="0" w:color="auto"/>
              <w:right w:val="single" w:sz="4" w:space="0" w:color="auto"/>
            </w:tcBorders>
          </w:tcPr>
          <w:p w14:paraId="7EF70D3E" w14:textId="77777777" w:rsidR="00B94BD9" w:rsidRPr="001A3EBC" w:rsidRDefault="00B94BD9" w:rsidP="00B94BD9">
            <w:pPr>
              <w:jc w:val="center"/>
            </w:pPr>
            <w:r w:rsidRPr="001A3EBC">
              <w:t>Monthly</w:t>
            </w:r>
          </w:p>
        </w:tc>
      </w:tr>
      <w:tr w:rsidR="00B94BD9" w:rsidRPr="00A325AC" w14:paraId="1B421541" w14:textId="77777777" w:rsidTr="00074B89">
        <w:tc>
          <w:tcPr>
            <w:tcW w:w="2970" w:type="dxa"/>
            <w:tcBorders>
              <w:top w:val="single" w:sz="4" w:space="0" w:color="auto"/>
              <w:left w:val="single" w:sz="4" w:space="0" w:color="auto"/>
              <w:bottom w:val="single" w:sz="4" w:space="0" w:color="auto"/>
              <w:right w:val="single" w:sz="4" w:space="0" w:color="auto"/>
            </w:tcBorders>
          </w:tcPr>
          <w:p w14:paraId="096DE148" w14:textId="77777777" w:rsidR="00B94BD9" w:rsidRPr="001A3EBC" w:rsidRDefault="00B94BD9" w:rsidP="00B94BD9">
            <w:r w:rsidRPr="001A3EBC">
              <w:t xml:space="preserve">Bacteriological Quality of Reagent Water </w:t>
            </w:r>
            <w:r w:rsidRPr="001A3EBC">
              <w:rPr>
                <w:bCs/>
                <w:vertAlign w:val="superscript"/>
              </w:rPr>
              <w:t>3</w:t>
            </w:r>
          </w:p>
        </w:tc>
        <w:tc>
          <w:tcPr>
            <w:tcW w:w="3387" w:type="dxa"/>
            <w:tcBorders>
              <w:top w:val="single" w:sz="4" w:space="0" w:color="auto"/>
              <w:left w:val="single" w:sz="4" w:space="0" w:color="auto"/>
              <w:bottom w:val="single" w:sz="4" w:space="0" w:color="auto"/>
              <w:right w:val="single" w:sz="4" w:space="0" w:color="auto"/>
            </w:tcBorders>
          </w:tcPr>
          <w:p w14:paraId="57684BA4" w14:textId="77777777" w:rsidR="00B94BD9" w:rsidRPr="001A3EBC" w:rsidRDefault="00B94BD9" w:rsidP="00B94BD9">
            <w:r w:rsidRPr="001A3EBC">
              <w:t xml:space="preserve">Ratio of </w:t>
            </w:r>
            <w:r w:rsidR="009C6E62" w:rsidRPr="001A3EBC">
              <w:t>g</w:t>
            </w:r>
            <w:r w:rsidRPr="001A3EBC">
              <w:t>rowth rate 0.8 to 3.0</w:t>
            </w:r>
          </w:p>
        </w:tc>
        <w:tc>
          <w:tcPr>
            <w:tcW w:w="1368" w:type="dxa"/>
            <w:tcBorders>
              <w:top w:val="single" w:sz="4" w:space="0" w:color="auto"/>
              <w:left w:val="single" w:sz="4" w:space="0" w:color="auto"/>
              <w:bottom w:val="single" w:sz="4" w:space="0" w:color="auto"/>
              <w:right w:val="single" w:sz="4" w:space="0" w:color="auto"/>
            </w:tcBorders>
          </w:tcPr>
          <w:p w14:paraId="572AAD2A" w14:textId="77777777" w:rsidR="00B94BD9" w:rsidRPr="001A3EBC" w:rsidRDefault="00B94BD9" w:rsidP="00B94BD9">
            <w:pPr>
              <w:jc w:val="center"/>
            </w:pPr>
            <w:r w:rsidRPr="001A3EBC">
              <w:t>Annually</w:t>
            </w:r>
          </w:p>
        </w:tc>
      </w:tr>
    </w:tbl>
    <w:p w14:paraId="51360ECB" w14:textId="77777777" w:rsidR="00B94BD9" w:rsidRPr="00A325AC" w:rsidRDefault="00B94BD9" w:rsidP="00DE0119">
      <w:pPr>
        <w:pStyle w:val="PlainText"/>
        <w:rPr>
          <w:rFonts w:ascii="Times New Roman" w:hAnsi="Times New Roman" w:cs="Times New Roman"/>
          <w:sz w:val="24"/>
          <w:szCs w:val="24"/>
        </w:rPr>
      </w:pPr>
    </w:p>
    <w:p w14:paraId="21E253B8" w14:textId="77777777" w:rsidR="00B94BD9" w:rsidRPr="00CF473C" w:rsidRDefault="00B94BD9" w:rsidP="00CF473C">
      <w:pPr>
        <w:ind w:left="720" w:firstLine="720"/>
      </w:pPr>
      <w:r w:rsidRPr="00D81A04">
        <w:rPr>
          <w:vertAlign w:val="superscript"/>
        </w:rPr>
        <w:t>1</w:t>
      </w:r>
      <w:r w:rsidR="00074B89" w:rsidRPr="00CF473C">
        <w:tab/>
      </w:r>
      <w:proofErr w:type="spellStart"/>
      <w:r w:rsidRPr="00CF473C">
        <w:t>DPD</w:t>
      </w:r>
      <w:proofErr w:type="spellEnd"/>
      <w:r w:rsidRPr="00CF473C">
        <w:t xml:space="preserve"> Method shall be used. Not required if source water is not chlorinated.</w:t>
      </w:r>
    </w:p>
    <w:p w14:paraId="02B288BF" w14:textId="7F5C6CB1" w:rsidR="00B94BD9" w:rsidRPr="00CF473C" w:rsidRDefault="00B94BD9" w:rsidP="00DE0119"/>
    <w:p w14:paraId="1634C521" w14:textId="351E1109" w:rsidR="00B94BD9" w:rsidRPr="00CF473C" w:rsidRDefault="00B94BD9" w:rsidP="00CF473C">
      <w:pPr>
        <w:ind w:left="2160" w:hanging="720"/>
      </w:pPr>
      <w:r w:rsidRPr="00D81A04">
        <w:rPr>
          <w:vertAlign w:val="superscript"/>
        </w:rPr>
        <w:t>2</w:t>
      </w:r>
      <w:r w:rsidR="00CF473C">
        <w:tab/>
      </w:r>
      <w:r w:rsidRPr="00CF473C">
        <w:t xml:space="preserve">Pour Plate Method. See Standard Methods </w:t>
      </w:r>
      <w:proofErr w:type="spellStart"/>
      <w:r w:rsidR="00F308E1" w:rsidRPr="00CF473C">
        <w:t>9215E</w:t>
      </w:r>
      <w:proofErr w:type="spellEnd"/>
      <w:r w:rsidRPr="00CF473C">
        <w:t xml:space="preserve">. </w:t>
      </w:r>
      <w:proofErr w:type="spellStart"/>
      <w:r w:rsidRPr="00CF473C">
        <w:t>SimPlate</w:t>
      </w:r>
      <w:proofErr w:type="spellEnd"/>
      <w:r w:rsidRPr="00CF473C">
        <w:t xml:space="preserve"> method.</w:t>
      </w:r>
    </w:p>
    <w:p w14:paraId="017B503F" w14:textId="77777777" w:rsidR="00B94BD9" w:rsidRPr="00CF473C" w:rsidRDefault="00B94BD9" w:rsidP="00DE0119"/>
    <w:p w14:paraId="72C22F6A" w14:textId="1D4DADE1" w:rsidR="00B94BD9" w:rsidRPr="00CF473C" w:rsidRDefault="00B94BD9" w:rsidP="00CF473C">
      <w:pPr>
        <w:ind w:left="2160" w:hanging="720"/>
      </w:pPr>
      <w:r w:rsidRPr="00D81A04">
        <w:rPr>
          <w:vertAlign w:val="superscript"/>
        </w:rPr>
        <w:t>3</w:t>
      </w:r>
      <w:r w:rsidR="00074B89" w:rsidRPr="00CF473C">
        <w:tab/>
      </w:r>
      <w:r w:rsidRPr="00CF473C">
        <w:t xml:space="preserve">See Standard Methods, Section </w:t>
      </w:r>
      <w:proofErr w:type="spellStart"/>
      <w:r w:rsidRPr="00CF473C">
        <w:t>9020B</w:t>
      </w:r>
      <w:proofErr w:type="spellEnd"/>
      <w:r w:rsidRPr="00CF473C">
        <w:t>, under Laboratory Supplies. This bacteriological quality test is not needed for type II water or better, as defined in Standard Methods.  The bacteriological quality test is not needed for water with a conductivity &lt;1 micromhos/cm at 25°</w:t>
      </w:r>
      <w:r w:rsidR="009C6E62" w:rsidRPr="00CF473C">
        <w:t xml:space="preserve"> </w:t>
      </w:r>
      <w:r w:rsidRPr="00CF473C">
        <w:t>C or resistivity &gt;1 megohms.  Users of purchased bottled water are not exempt from the suitability test.</w:t>
      </w:r>
    </w:p>
    <w:p w14:paraId="1EA1EDFF" w14:textId="77777777" w:rsidR="00B94BD9" w:rsidRDefault="00B94BD9" w:rsidP="00DE0119">
      <w:pPr>
        <w:widowControl w:val="0"/>
        <w:autoSpaceDE w:val="0"/>
        <w:autoSpaceDN w:val="0"/>
        <w:adjustRightInd w:val="0"/>
      </w:pPr>
    </w:p>
    <w:p w14:paraId="453411A6" w14:textId="77777777" w:rsidR="00D41938" w:rsidRDefault="00D41938" w:rsidP="00D41938">
      <w:pPr>
        <w:widowControl w:val="0"/>
        <w:autoSpaceDE w:val="0"/>
        <w:autoSpaceDN w:val="0"/>
        <w:adjustRightInd w:val="0"/>
        <w:ind w:left="1440" w:hanging="720"/>
      </w:pPr>
      <w:r>
        <w:t>b)</w:t>
      </w:r>
      <w:r>
        <w:tab/>
        <w:t>Laboratory pure water shall be analyzed initially and annually</w:t>
      </w:r>
      <w:r w:rsidR="00B94BD9" w:rsidRPr="00A325AC">
        <w:t xml:space="preserve"> (every 12 months)</w:t>
      </w:r>
      <w:r>
        <w:t xml:space="preserve"> thereafter by the test for bacteriological quality of distilled water as specified in "Standard Methods for the Examination of Water and Wastewater." Purchased laboratory pure water shall be sampled in-house; manufacturer's test results shall not be used to establish compliance. Only satisfactorily tested water shall be used in preparing media, reagents, rinse, and dilution water.  If the water tested does not meet the testing requirements, the water shall not be used until corrective action has been taken and retesting determines </w:t>
      </w:r>
      <w:r w:rsidR="00B94BD9">
        <w:t xml:space="preserve">that </w:t>
      </w:r>
      <w:r>
        <w:t xml:space="preserve">the testing requirements have been met. </w:t>
      </w:r>
    </w:p>
    <w:p w14:paraId="7995E81D" w14:textId="77777777" w:rsidR="007273EF" w:rsidRDefault="007273EF" w:rsidP="00DE0119">
      <w:pPr>
        <w:widowControl w:val="0"/>
        <w:autoSpaceDE w:val="0"/>
        <w:autoSpaceDN w:val="0"/>
        <w:adjustRightInd w:val="0"/>
      </w:pPr>
    </w:p>
    <w:p w14:paraId="06F6A670" w14:textId="77777777" w:rsidR="00D41938" w:rsidRDefault="00D41938" w:rsidP="00D41938">
      <w:pPr>
        <w:widowControl w:val="0"/>
        <w:autoSpaceDE w:val="0"/>
        <w:autoSpaceDN w:val="0"/>
        <w:adjustRightInd w:val="0"/>
        <w:ind w:left="1440" w:hanging="720"/>
      </w:pPr>
      <w:r>
        <w:t>c)</w:t>
      </w:r>
      <w:r>
        <w:tab/>
        <w:t xml:space="preserve">Laboratory pure water shall be analyzed monthly for conductance, chlorine residual, and heterotrophic plate count.  Heterotrophic plate counts shall be performed as specified in "Standard Methods for the Examination of Water and Wastewater."  If the water tested exceeds requirements for these properties, the water shall not be used until corrective action has been taken and retesting determines </w:t>
      </w:r>
      <w:r w:rsidR="00B94BD9">
        <w:t xml:space="preserve">that </w:t>
      </w:r>
      <w:r>
        <w:t xml:space="preserve">the testing requirements have been met. </w:t>
      </w:r>
    </w:p>
    <w:p w14:paraId="3F5BBA94" w14:textId="77777777" w:rsidR="007273EF" w:rsidRDefault="007273EF" w:rsidP="00DE0119">
      <w:pPr>
        <w:widowControl w:val="0"/>
        <w:autoSpaceDE w:val="0"/>
        <w:autoSpaceDN w:val="0"/>
        <w:adjustRightInd w:val="0"/>
      </w:pPr>
    </w:p>
    <w:p w14:paraId="3D1199D4" w14:textId="77777777" w:rsidR="00D41938" w:rsidRDefault="00D41938" w:rsidP="00D41938">
      <w:pPr>
        <w:widowControl w:val="0"/>
        <w:autoSpaceDE w:val="0"/>
        <w:autoSpaceDN w:val="0"/>
        <w:adjustRightInd w:val="0"/>
        <w:ind w:left="1440" w:hanging="720"/>
      </w:pPr>
      <w:r>
        <w:lastRenderedPageBreak/>
        <w:t>d)</w:t>
      </w:r>
      <w:r>
        <w:tab/>
        <w:t xml:space="preserve">Laboratory pure water shall not be in contact with heavy metals, and shall be analyzed initially and annually </w:t>
      </w:r>
      <w:r w:rsidR="00B94BD9" w:rsidRPr="00A325AC">
        <w:t>(every 12 months)</w:t>
      </w:r>
      <w:r w:rsidR="00B94BD9">
        <w:t xml:space="preserve"> </w:t>
      </w:r>
      <w:r>
        <w:t xml:space="preserve">thereafter for trace metals (especially Pb, Cd, Cr, Cu, Ni, and Zn) in the quantities specified in subsection (a) of this Section.  If the water tested exceeds requirements for trace metals, the water shall not be used until corrective action has been taken and retesting determines </w:t>
      </w:r>
      <w:r w:rsidR="00B94BD9">
        <w:t xml:space="preserve">that </w:t>
      </w:r>
      <w:r>
        <w:t xml:space="preserve">the testing requirements have been met. </w:t>
      </w:r>
    </w:p>
    <w:p w14:paraId="67474097" w14:textId="77777777" w:rsidR="00D41938" w:rsidRDefault="00D41938" w:rsidP="00DE0119">
      <w:pPr>
        <w:widowControl w:val="0"/>
        <w:autoSpaceDE w:val="0"/>
        <w:autoSpaceDN w:val="0"/>
        <w:adjustRightInd w:val="0"/>
      </w:pPr>
    </w:p>
    <w:p w14:paraId="3385D43F" w14:textId="4DE50C8A" w:rsidR="00B94BD9" w:rsidRPr="00D55B37" w:rsidRDefault="00F308E1">
      <w:pPr>
        <w:pStyle w:val="JCARSourceNote"/>
        <w:ind w:left="720"/>
      </w:pPr>
      <w:r>
        <w:t xml:space="preserve">(Source:  Amended at 46 Ill. Reg. </w:t>
      </w:r>
      <w:r w:rsidR="003D748C">
        <w:t>19150</w:t>
      </w:r>
      <w:r>
        <w:t xml:space="preserve">, effective </w:t>
      </w:r>
      <w:r w:rsidR="003D748C">
        <w:t>November 17, 2022</w:t>
      </w:r>
      <w:r>
        <w:t>)</w:t>
      </w:r>
    </w:p>
    <w:sectPr w:rsidR="00B94BD9" w:rsidRPr="00D55B37" w:rsidSect="00627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7D78"/>
    <w:rsid w:val="00074B89"/>
    <w:rsid w:val="001A0093"/>
    <w:rsid w:val="001A3EBC"/>
    <w:rsid w:val="002617D6"/>
    <w:rsid w:val="003A0E21"/>
    <w:rsid w:val="003D748C"/>
    <w:rsid w:val="00491931"/>
    <w:rsid w:val="005B5CA9"/>
    <w:rsid w:val="005C3366"/>
    <w:rsid w:val="00626191"/>
    <w:rsid w:val="00627D78"/>
    <w:rsid w:val="006860F3"/>
    <w:rsid w:val="006C5393"/>
    <w:rsid w:val="006D6E0B"/>
    <w:rsid w:val="007273EF"/>
    <w:rsid w:val="0089741E"/>
    <w:rsid w:val="009C6E62"/>
    <w:rsid w:val="00B073D5"/>
    <w:rsid w:val="00B4047C"/>
    <w:rsid w:val="00B526FF"/>
    <w:rsid w:val="00B94BD9"/>
    <w:rsid w:val="00CF473C"/>
    <w:rsid w:val="00D41938"/>
    <w:rsid w:val="00D81A04"/>
    <w:rsid w:val="00DE0119"/>
    <w:rsid w:val="00F308E1"/>
    <w:rsid w:val="00F5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429959"/>
  <w15:docId w15:val="{CB99D639-DC00-40BA-B8EC-24FE03E2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4BD9"/>
    <w:rPr>
      <w:rFonts w:ascii="Courier New" w:hAnsi="Courier New" w:cs="Courier New"/>
      <w:sz w:val="20"/>
      <w:szCs w:val="20"/>
    </w:rPr>
  </w:style>
  <w:style w:type="character" w:customStyle="1" w:styleId="PlainTextChar">
    <w:name w:val="Plain Text Char"/>
    <w:basedOn w:val="DefaultParagraphFont"/>
    <w:link w:val="PlainText"/>
    <w:rsid w:val="00B94BD9"/>
    <w:rPr>
      <w:rFonts w:ascii="Courier New" w:hAnsi="Courier New" w:cs="Courier New"/>
      <w:lang w:val="en-US" w:eastAsia="en-US" w:bidi="ar-SA"/>
    </w:rPr>
  </w:style>
  <w:style w:type="paragraph" w:customStyle="1" w:styleId="JCARSourceNote">
    <w:name w:val="JCAR Source Note"/>
    <w:basedOn w:val="Normal"/>
    <w:rsid w:val="00B9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2022-12-02T15:09:00Z</dcterms:modified>
</cp:coreProperties>
</file>