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7A" w:rsidRDefault="00DE417A" w:rsidP="00DE4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17A" w:rsidRDefault="00DE417A" w:rsidP="00DE417A">
      <w:pPr>
        <w:widowControl w:val="0"/>
        <w:autoSpaceDE w:val="0"/>
        <w:autoSpaceDN w:val="0"/>
        <w:adjustRightInd w:val="0"/>
        <w:jc w:val="center"/>
      </w:pPr>
      <w:r>
        <w:t>SUBPART B:  MICROBIOLOGICAL ANALYSES</w:t>
      </w:r>
    </w:p>
    <w:p w:rsidR="00DE417A" w:rsidRDefault="00DE417A" w:rsidP="00DE417A">
      <w:pPr>
        <w:widowControl w:val="0"/>
        <w:autoSpaceDE w:val="0"/>
        <w:autoSpaceDN w:val="0"/>
        <w:adjustRightInd w:val="0"/>
        <w:jc w:val="center"/>
      </w:pPr>
      <w:r>
        <w:t>OF PUBLIC WATER SUPPLY SAMPLES</w:t>
      </w:r>
    </w:p>
    <w:sectPr w:rsidR="00DE417A" w:rsidSect="00DE4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17A"/>
    <w:rsid w:val="00371D9A"/>
    <w:rsid w:val="005C3366"/>
    <w:rsid w:val="00746C2D"/>
    <w:rsid w:val="00BD1856"/>
    <w:rsid w:val="00D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MICROBIOLOGICAL ANALYSES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MICROBIOLOGICAL ANALYSES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