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AE" w:rsidRDefault="002437AE" w:rsidP="002437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7AE" w:rsidRDefault="002437AE" w:rsidP="002437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460.10  Definitions</w:t>
      </w:r>
      <w:r>
        <w:t xml:space="preserve"> </w:t>
      </w:r>
    </w:p>
    <w:p w:rsidR="002437AE" w:rsidRDefault="002437AE" w:rsidP="002437AE">
      <w:pPr>
        <w:widowControl w:val="0"/>
        <w:autoSpaceDE w:val="0"/>
        <w:autoSpaceDN w:val="0"/>
        <w:adjustRightInd w:val="0"/>
      </w:pPr>
    </w:p>
    <w:p w:rsidR="002437AE" w:rsidRDefault="002437AE" w:rsidP="001267DC">
      <w:pPr>
        <w:widowControl w:val="0"/>
        <w:autoSpaceDE w:val="0"/>
        <w:autoSpaceDN w:val="0"/>
        <w:adjustRightInd w:val="0"/>
        <w:ind w:left="1440"/>
      </w:pPr>
      <w:r>
        <w:t>"Act" means "The Blood Labeling Act", approved August 18, 1972 and effective October 1, 1972  (Ill. Rev. Stat. 1981, ch. 111</w:t>
      </w:r>
      <w:r w:rsidR="001267DC">
        <w:t>½</w:t>
      </w:r>
      <w:r>
        <w:t xml:space="preserve">, pars. 620-1 et seq.). </w:t>
      </w:r>
    </w:p>
    <w:p w:rsidR="002437AE" w:rsidRDefault="002437AE" w:rsidP="002437AE">
      <w:pPr>
        <w:widowControl w:val="0"/>
        <w:autoSpaceDE w:val="0"/>
        <w:autoSpaceDN w:val="0"/>
        <w:adjustRightInd w:val="0"/>
        <w:ind w:left="1440" w:hanging="720"/>
      </w:pPr>
    </w:p>
    <w:p w:rsidR="002437AE" w:rsidRDefault="002437AE" w:rsidP="001267DC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Public Health. </w:t>
      </w:r>
    </w:p>
    <w:sectPr w:rsidR="002437AE" w:rsidSect="002437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7AE"/>
    <w:rsid w:val="001267DC"/>
    <w:rsid w:val="002437AE"/>
    <w:rsid w:val="004D6A40"/>
    <w:rsid w:val="005C3366"/>
    <w:rsid w:val="00B75280"/>
    <w:rsid w:val="00E8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General Assembly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