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0F2" w:rsidRDefault="003360F2" w:rsidP="003360F2">
      <w:pPr>
        <w:widowControl w:val="0"/>
        <w:autoSpaceDE w:val="0"/>
        <w:autoSpaceDN w:val="0"/>
        <w:adjustRightInd w:val="0"/>
      </w:pPr>
    </w:p>
    <w:p w:rsidR="003360F2" w:rsidRDefault="003360F2" w:rsidP="003360F2">
      <w:pPr>
        <w:widowControl w:val="0"/>
        <w:autoSpaceDE w:val="0"/>
        <w:autoSpaceDN w:val="0"/>
        <w:adjustRightInd w:val="0"/>
      </w:pPr>
      <w:r>
        <w:rPr>
          <w:b/>
          <w:bCs/>
        </w:rPr>
        <w:t>Section 450.1140  Procedure Manuals</w:t>
      </w:r>
      <w:r>
        <w:t xml:space="preserve"> </w:t>
      </w:r>
    </w:p>
    <w:p w:rsidR="003360F2" w:rsidRDefault="003360F2" w:rsidP="003360F2">
      <w:pPr>
        <w:widowControl w:val="0"/>
        <w:autoSpaceDE w:val="0"/>
        <w:autoSpaceDN w:val="0"/>
        <w:adjustRightInd w:val="0"/>
      </w:pPr>
    </w:p>
    <w:p w:rsidR="003360F2" w:rsidRDefault="003360F2" w:rsidP="003360F2">
      <w:pPr>
        <w:widowControl w:val="0"/>
        <w:autoSpaceDE w:val="0"/>
        <w:autoSpaceDN w:val="0"/>
        <w:adjustRightInd w:val="0"/>
        <w:ind w:left="1440" w:hanging="720"/>
      </w:pPr>
      <w:r>
        <w:t>a)</w:t>
      </w:r>
      <w:r>
        <w:tab/>
        <w:t xml:space="preserve">Current procedure manual(s) prepared by each laboratory shall be available for use by technical personnel.  Manufacturer's manuals and textbooks may be used as supplements to the laboratory manual, but not in lieu thereof.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1440" w:hanging="720"/>
      </w:pPr>
      <w:r>
        <w:t>b)</w:t>
      </w:r>
      <w:r>
        <w:tab/>
        <w:t xml:space="preserve">Each procedure manual shall contain a table of contents reflecting the name of the test; methodology used; annual review by the director; date and type of change in methodology, instrumentation, reagents, etc., which are approved by the director with cross reference to the actual change in that procedure.  Each procedure shall use the headings below and include, where applicable, all items listed.  The following format is recommended.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160" w:hanging="720"/>
      </w:pPr>
      <w:r>
        <w:t>1)</w:t>
      </w:r>
      <w:r>
        <w:tab/>
        <w:t xml:space="preserve">Principle of the test. </w:t>
      </w:r>
    </w:p>
    <w:p w:rsidR="00841404" w:rsidRDefault="00841404" w:rsidP="006022BC">
      <w:pPr>
        <w:widowControl w:val="0"/>
        <w:autoSpaceDE w:val="0"/>
        <w:autoSpaceDN w:val="0"/>
        <w:adjustRightInd w:val="0"/>
      </w:pPr>
    </w:p>
    <w:p w:rsidR="003360F2" w:rsidRDefault="003360F2" w:rsidP="008830E7">
      <w:pPr>
        <w:widowControl w:val="0"/>
        <w:autoSpaceDE w:val="0"/>
        <w:autoSpaceDN w:val="0"/>
        <w:adjustRightInd w:val="0"/>
        <w:ind w:left="2160"/>
      </w:pPr>
      <w:r>
        <w:t xml:space="preserve">Include a brief statement concerning the type of reaction(s) involved. </w:t>
      </w:r>
    </w:p>
    <w:p w:rsidR="003360F2" w:rsidRDefault="003360F2" w:rsidP="003360F2">
      <w:pPr>
        <w:widowControl w:val="0"/>
        <w:autoSpaceDE w:val="0"/>
        <w:autoSpaceDN w:val="0"/>
        <w:adjustRightInd w:val="0"/>
        <w:ind w:left="2160" w:hanging="720"/>
      </w:pPr>
      <w:r>
        <w:t>2)</w:t>
      </w:r>
      <w:r>
        <w:tab/>
        <w:t xml:space="preserve">Specimen.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880" w:hanging="720"/>
      </w:pPr>
      <w:r>
        <w:t>A)</w:t>
      </w:r>
      <w:r>
        <w:tab/>
        <w:t xml:space="preserve">State the conditions for patient preparation.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880" w:hanging="720"/>
      </w:pPr>
      <w:r>
        <w:t>B)</w:t>
      </w:r>
      <w:r>
        <w:tab/>
        <w:t xml:space="preserve">Specify the type of sample with respect to volume of sample required, anticoagulants, preservatives, stability, and requirements for storage.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880" w:hanging="720"/>
      </w:pPr>
      <w:r>
        <w:t>C)</w:t>
      </w:r>
      <w:r>
        <w:tab/>
        <w:t xml:space="preserve">State the criteria for an unacceptable sample.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880" w:hanging="720"/>
      </w:pPr>
      <w:r>
        <w:t>D)</w:t>
      </w:r>
      <w:r>
        <w:tab/>
        <w:t xml:space="preserve">Specify handling conditions with respect to timing, transport or storage conditions, and special equipment.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880" w:hanging="720"/>
      </w:pPr>
      <w:r>
        <w:t>E)</w:t>
      </w:r>
      <w:r>
        <w:tab/>
        <w:t xml:space="preserve">State the criteria for proper specimen identification.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160" w:hanging="720"/>
      </w:pPr>
      <w:r>
        <w:t>3)</w:t>
      </w:r>
      <w:r>
        <w:tab/>
        <w:t xml:space="preserve">Reagent preparation.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880" w:hanging="720"/>
      </w:pPr>
      <w:r>
        <w:t>A)</w:t>
      </w:r>
      <w:r>
        <w:tab/>
        <w:t xml:space="preserve">List specific reagents used in the procedure.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880" w:hanging="720"/>
      </w:pPr>
      <w:r>
        <w:t>B)</w:t>
      </w:r>
      <w:r>
        <w:tab/>
        <w:t xml:space="preserve">State the directions for preparation and labeling of each reagent to include the initials of the person who prepared the material, contents, concentration, lot number, date of preparation, expiration date, and storage requirement.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880" w:hanging="720"/>
      </w:pPr>
      <w:r>
        <w:t>C)</w:t>
      </w:r>
      <w:r>
        <w:tab/>
        <w:t xml:space="preserve">For coagulation reagents, record the time of reconstitution and initial.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160" w:hanging="720"/>
      </w:pPr>
      <w:r>
        <w:t>4)</w:t>
      </w:r>
      <w:r>
        <w:tab/>
        <w:t xml:space="preserve">Procedure calibration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880" w:hanging="720"/>
      </w:pPr>
      <w:r>
        <w:lastRenderedPageBreak/>
        <w:t>A)</w:t>
      </w:r>
      <w:r>
        <w:tab/>
        <w:t xml:space="preserve">Give detailed stepwise instructions including dilutions of working standards (calibrators). List standards used, grade of purity required and storage requirements.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880" w:hanging="720"/>
      </w:pPr>
      <w:r>
        <w:t>B)</w:t>
      </w:r>
      <w:r>
        <w:tab/>
        <w:t xml:space="preserve">State specifications for photometric readings (%T, absorbance, etc.).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880" w:hanging="720"/>
      </w:pPr>
      <w:r>
        <w:t>C)</w:t>
      </w:r>
      <w:r>
        <w:tab/>
        <w:t xml:space="preserve">Where calibration graphs are used, the type shall be specified.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880" w:hanging="720"/>
      </w:pPr>
      <w:r>
        <w:t>D)</w:t>
      </w:r>
      <w:r>
        <w:tab/>
        <w:t xml:space="preserve">Specify acceptable tolerances for standards and corrective actions to be taken if results are outside the tolerance limits.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160" w:hanging="720"/>
      </w:pPr>
      <w:r>
        <w:t>5)</w:t>
      </w:r>
      <w:r>
        <w:tab/>
        <w:t xml:space="preserve">Procedure.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880" w:hanging="720"/>
      </w:pPr>
      <w:r>
        <w:t>A)</w:t>
      </w:r>
      <w:r>
        <w:tab/>
        <w:t xml:space="preserve">Write detailed instructions in a stepwise manner.  A flow chart may be used as an adjunct.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880" w:hanging="720"/>
      </w:pPr>
      <w:r>
        <w:t>B)</w:t>
      </w:r>
      <w:r>
        <w:tab/>
        <w:t xml:space="preserve">Specify the following for photometric measurements.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3600" w:hanging="720"/>
      </w:pPr>
      <w:r>
        <w:t>i)</w:t>
      </w:r>
      <w:r>
        <w:tab/>
        <w:t xml:space="preserve">Type of instrument.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3600" w:hanging="720"/>
      </w:pPr>
      <w:r>
        <w:t>ii)</w:t>
      </w:r>
      <w:r>
        <w:tab/>
        <w:t xml:space="preserve">Wavelength.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3600" w:hanging="720"/>
      </w:pPr>
      <w:r>
        <w:t>iii)</w:t>
      </w:r>
      <w:r>
        <w:tab/>
        <w:t xml:space="preserve">Cuvette size.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3600" w:hanging="720"/>
      </w:pPr>
      <w:r>
        <w:t>iv)</w:t>
      </w:r>
      <w:r>
        <w:tab/>
        <w:t xml:space="preserve">Solution used as a blank.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3600" w:hanging="720"/>
      </w:pPr>
      <w:r>
        <w:t>v)</w:t>
      </w:r>
      <w:r>
        <w:tab/>
        <w:t xml:space="preserve">Range of linearity.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3600" w:hanging="720"/>
      </w:pPr>
      <w:r>
        <w:t>vi)</w:t>
      </w:r>
      <w:r>
        <w:tab/>
        <w:t xml:space="preserve">How the raw data are read (%T, absorbance, etc.).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3600" w:hanging="720"/>
      </w:pPr>
      <w:r>
        <w:t>vii)</w:t>
      </w:r>
      <w:r>
        <w:tab/>
        <w:t xml:space="preserve">Stability of the final solution.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880" w:hanging="720"/>
      </w:pPr>
      <w:r>
        <w:t>C)</w:t>
      </w:r>
      <w:r>
        <w:tab/>
        <w:t xml:space="preserve">Clearly indicate safety hazards.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160" w:hanging="720"/>
      </w:pPr>
      <w:r>
        <w:t>6)</w:t>
      </w:r>
      <w:r>
        <w:tab/>
        <w:t xml:space="preserve">Calculations.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880" w:hanging="720"/>
      </w:pPr>
      <w:r>
        <w:t>A)</w:t>
      </w:r>
      <w:r>
        <w:tab/>
        <w:t xml:space="preserve">Give stepwise instructions for calculations.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880" w:hanging="720"/>
      </w:pPr>
      <w:r>
        <w:t>B)</w:t>
      </w:r>
      <w:r>
        <w:tab/>
        <w:t xml:space="preserve">Give the equation.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880" w:hanging="720"/>
      </w:pPr>
      <w:r>
        <w:t>C)</w:t>
      </w:r>
      <w:r>
        <w:tab/>
        <w:t xml:space="preserve">Give a precise example.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880" w:hanging="720"/>
      </w:pPr>
      <w:r>
        <w:t>D)</w:t>
      </w:r>
      <w:r>
        <w:tab/>
        <w:t xml:space="preserve">Describe the common variations in calculations.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160" w:hanging="720"/>
      </w:pPr>
      <w:r>
        <w:t>7)</w:t>
      </w:r>
      <w:r>
        <w:tab/>
        <w:t xml:space="preserve">Quality Control.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880" w:hanging="720"/>
      </w:pPr>
      <w:r>
        <w:t>A)</w:t>
      </w:r>
      <w:r>
        <w:tab/>
        <w:t xml:space="preserve">State the reference materials to be used.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880" w:hanging="720"/>
      </w:pPr>
      <w:r>
        <w:t>B)</w:t>
      </w:r>
      <w:r>
        <w:tab/>
        <w:t xml:space="preserve">Give instructions for preparation of reference materials.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880" w:hanging="720"/>
      </w:pPr>
      <w:r>
        <w:t>C)</w:t>
      </w:r>
      <w:r>
        <w:tab/>
        <w:t xml:space="preserve">State the minimum frequency with which reference materials are to be run.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880" w:hanging="720"/>
      </w:pPr>
      <w:r>
        <w:t>D)</w:t>
      </w:r>
      <w:r>
        <w:tab/>
        <w:t xml:space="preserve">State how action limits for reference materials are to be established.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880" w:hanging="720"/>
      </w:pPr>
      <w:r>
        <w:t>E)</w:t>
      </w:r>
      <w:r>
        <w:tab/>
        <w:t xml:space="preserve">State the corrective actions to be taken when action limits are exceeded.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160" w:hanging="720"/>
      </w:pPr>
      <w:r>
        <w:t>8)</w:t>
      </w:r>
      <w:r>
        <w:tab/>
        <w:t xml:space="preserve">Reporting results.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880" w:hanging="720"/>
      </w:pPr>
      <w:r>
        <w:t>A)</w:t>
      </w:r>
      <w:r>
        <w:tab/>
        <w:t xml:space="preserve">State expected ranges where appropriate.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880" w:hanging="720"/>
      </w:pPr>
      <w:r>
        <w:t>B)</w:t>
      </w:r>
      <w:r>
        <w:tab/>
        <w:t xml:space="preserve">Give information about methodology which may be necessary for interpretation of results.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880" w:hanging="720"/>
      </w:pPr>
      <w:r>
        <w:t>C)</w:t>
      </w:r>
      <w:r>
        <w:tab/>
        <w:t xml:space="preserve">Give guidelines as to acceptable reporting format and units as applicable.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880" w:hanging="720"/>
      </w:pPr>
      <w:r>
        <w:t>D)</w:t>
      </w:r>
      <w:r>
        <w:tab/>
        <w:t xml:space="preserve">A system for handling critical values shall be available.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880" w:hanging="720"/>
      </w:pPr>
      <w:r>
        <w:t>E)</w:t>
      </w:r>
      <w:r>
        <w:tab/>
        <w:t xml:space="preserve">State and laboratory confirmed upper and lower limits of linearity and/or detection limits for the procedure to insure that reported results are within these limits.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160" w:hanging="720"/>
      </w:pPr>
      <w:r>
        <w:t>9)</w:t>
      </w:r>
      <w:r>
        <w:tab/>
        <w:t xml:space="preserve">Procedural notes.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880" w:hanging="720"/>
      </w:pPr>
      <w:r>
        <w:t>A)</w:t>
      </w:r>
      <w:r>
        <w:tab/>
        <w:t xml:space="preserve">List possible sources of error. </w:t>
      </w:r>
    </w:p>
    <w:p w:rsidR="00841404" w:rsidRDefault="00841404" w:rsidP="006022BC">
      <w:pPr>
        <w:widowControl w:val="0"/>
        <w:autoSpaceDE w:val="0"/>
        <w:autoSpaceDN w:val="0"/>
        <w:adjustRightInd w:val="0"/>
      </w:pPr>
    </w:p>
    <w:p w:rsidR="003360F2" w:rsidRDefault="003360F2" w:rsidP="003360F2">
      <w:pPr>
        <w:widowControl w:val="0"/>
        <w:autoSpaceDE w:val="0"/>
        <w:autoSpaceDN w:val="0"/>
        <w:adjustRightInd w:val="0"/>
        <w:ind w:left="2880" w:hanging="720"/>
      </w:pPr>
      <w:r>
        <w:t>B)</w:t>
      </w:r>
      <w:r>
        <w:tab/>
        <w:t xml:space="preserve">Describe the plan for an alternate means of specimen handling or analysis in the event the procedure should fail. </w:t>
      </w:r>
    </w:p>
    <w:p w:rsidR="00841404" w:rsidRDefault="00841404" w:rsidP="006022BC">
      <w:pPr>
        <w:widowControl w:val="0"/>
        <w:autoSpaceDE w:val="0"/>
        <w:autoSpaceDN w:val="0"/>
        <w:adjustRightInd w:val="0"/>
      </w:pPr>
    </w:p>
    <w:p w:rsidR="003360F2" w:rsidRDefault="003360F2" w:rsidP="008830E7">
      <w:pPr>
        <w:widowControl w:val="0"/>
        <w:autoSpaceDE w:val="0"/>
        <w:autoSpaceDN w:val="0"/>
        <w:adjustRightInd w:val="0"/>
        <w:ind w:left="2160" w:hanging="828"/>
      </w:pPr>
      <w:r>
        <w:t>10)</w:t>
      </w:r>
      <w:r>
        <w:tab/>
        <w:t xml:space="preserve">References. </w:t>
      </w:r>
    </w:p>
    <w:p w:rsidR="003360F2" w:rsidRDefault="003360F2" w:rsidP="008830E7">
      <w:pPr>
        <w:widowControl w:val="0"/>
        <w:autoSpaceDE w:val="0"/>
        <w:autoSpaceDN w:val="0"/>
        <w:adjustRightInd w:val="0"/>
        <w:ind w:left="2160"/>
      </w:pPr>
      <w:r>
        <w:t xml:space="preserve">Document the source(s) of information used in the procedure. </w:t>
      </w:r>
    </w:p>
    <w:p w:rsidR="00841404" w:rsidRDefault="00841404" w:rsidP="006022BC">
      <w:pPr>
        <w:widowControl w:val="0"/>
        <w:autoSpaceDE w:val="0"/>
        <w:autoSpaceDN w:val="0"/>
        <w:adjustRightInd w:val="0"/>
      </w:pPr>
      <w:bookmarkStart w:id="0" w:name="_GoBack"/>
      <w:bookmarkEnd w:id="0"/>
    </w:p>
    <w:p w:rsidR="003360F2" w:rsidRDefault="003360F2" w:rsidP="008830E7">
      <w:pPr>
        <w:widowControl w:val="0"/>
        <w:autoSpaceDE w:val="0"/>
        <w:autoSpaceDN w:val="0"/>
        <w:adjustRightInd w:val="0"/>
        <w:ind w:left="2160" w:hanging="828"/>
      </w:pPr>
      <w:r>
        <w:t>11)</w:t>
      </w:r>
      <w:r>
        <w:tab/>
        <w:t xml:space="preserve">Utilization of product package inserts.  Include a system to assure that package inserts are current with and applicable to the kits or reagents actually in use.  Package inserts may not be used as part of the procedure manual unless they comply with all of the provisions enumerated under this Section. </w:t>
      </w:r>
    </w:p>
    <w:p w:rsidR="003360F2" w:rsidRDefault="003360F2" w:rsidP="008830E7">
      <w:pPr>
        <w:widowControl w:val="0"/>
        <w:autoSpaceDE w:val="0"/>
        <w:autoSpaceDN w:val="0"/>
        <w:adjustRightInd w:val="0"/>
      </w:pPr>
    </w:p>
    <w:p w:rsidR="003360F2" w:rsidRDefault="003360F2" w:rsidP="003360F2">
      <w:pPr>
        <w:widowControl w:val="0"/>
        <w:autoSpaceDE w:val="0"/>
        <w:autoSpaceDN w:val="0"/>
        <w:adjustRightInd w:val="0"/>
        <w:ind w:left="1440" w:hanging="720"/>
      </w:pPr>
      <w:r>
        <w:lastRenderedPageBreak/>
        <w:t xml:space="preserve">(Source:  Amended at 13 Ill. Reg. 11573, effective July 1, 1989) </w:t>
      </w:r>
    </w:p>
    <w:sectPr w:rsidR="003360F2" w:rsidSect="003360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60F2"/>
    <w:rsid w:val="002535CA"/>
    <w:rsid w:val="003360F2"/>
    <w:rsid w:val="005C3366"/>
    <w:rsid w:val="006022BC"/>
    <w:rsid w:val="006352C2"/>
    <w:rsid w:val="00841404"/>
    <w:rsid w:val="008830E7"/>
    <w:rsid w:val="009E7FDC"/>
    <w:rsid w:val="00A35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4F40C6B-260E-4112-BB54-6C466ACE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Shipley, Melissa A.</cp:lastModifiedBy>
  <cp:revision>4</cp:revision>
  <dcterms:created xsi:type="dcterms:W3CDTF">2012-06-22T00:02:00Z</dcterms:created>
  <dcterms:modified xsi:type="dcterms:W3CDTF">2022-02-24T15:22:00Z</dcterms:modified>
</cp:coreProperties>
</file>