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1F" w:rsidRDefault="00764C1F" w:rsidP="00764C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C1F" w:rsidRDefault="00764C1F" w:rsidP="00764C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450.510  Facilities and Equipment</w:t>
      </w:r>
      <w:r>
        <w:t xml:space="preserve"> </w:t>
      </w:r>
    </w:p>
    <w:p w:rsidR="00764C1F" w:rsidRDefault="00764C1F" w:rsidP="00764C1F">
      <w:pPr>
        <w:widowControl w:val="0"/>
        <w:autoSpaceDE w:val="0"/>
        <w:autoSpaceDN w:val="0"/>
        <w:adjustRightInd w:val="0"/>
      </w:pPr>
    </w:p>
    <w:p w:rsidR="00764C1F" w:rsidRDefault="00764C1F" w:rsidP="00764C1F">
      <w:pPr>
        <w:widowControl w:val="0"/>
        <w:autoSpaceDE w:val="0"/>
        <w:autoSpaceDN w:val="0"/>
        <w:adjustRightInd w:val="0"/>
      </w:pPr>
      <w:r>
        <w:t xml:space="preserve">The laboratory must document that the physical facilities, equipment, and instruments are adequate for performance of tests for which the laboratory is requesting a license or permit.  (See Subpart C) </w:t>
      </w:r>
    </w:p>
    <w:p w:rsidR="00764C1F" w:rsidRDefault="00764C1F" w:rsidP="00764C1F">
      <w:pPr>
        <w:widowControl w:val="0"/>
        <w:autoSpaceDE w:val="0"/>
        <w:autoSpaceDN w:val="0"/>
        <w:adjustRightInd w:val="0"/>
      </w:pPr>
    </w:p>
    <w:p w:rsidR="00764C1F" w:rsidRDefault="00764C1F" w:rsidP="00764C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July 1, 1989) </w:t>
      </w:r>
    </w:p>
    <w:sectPr w:rsidR="00764C1F" w:rsidSect="00764C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C1F"/>
    <w:rsid w:val="005C3366"/>
    <w:rsid w:val="00764C1F"/>
    <w:rsid w:val="008A5FFD"/>
    <w:rsid w:val="00BC1898"/>
    <w:rsid w:val="00E1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