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42" w:rsidRDefault="00452A42" w:rsidP="00452A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2A42" w:rsidRDefault="00452A42" w:rsidP="00452A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390.1670  Staff Responsibility for Medical Records</w:t>
      </w:r>
      <w:r>
        <w:t xml:space="preserve"> </w:t>
      </w:r>
    </w:p>
    <w:p w:rsidR="00452A42" w:rsidRDefault="00452A42" w:rsidP="00452A42">
      <w:pPr>
        <w:widowControl w:val="0"/>
        <w:autoSpaceDE w:val="0"/>
        <w:autoSpaceDN w:val="0"/>
        <w:adjustRightInd w:val="0"/>
      </w:pPr>
    </w:p>
    <w:p w:rsidR="00452A42" w:rsidRDefault="00452A42" w:rsidP="00452A42">
      <w:pPr>
        <w:widowControl w:val="0"/>
        <w:autoSpaceDE w:val="0"/>
        <w:autoSpaceDN w:val="0"/>
        <w:adjustRightInd w:val="0"/>
      </w:pPr>
      <w:r>
        <w:t xml:space="preserve">The facility shall designate a staff member skilled in record maintenance and preservation who shall be responsible for maintaining and preserving medical records.  If the designated person is not a health information management consultant, then the designated person shall receive consultation from a health information management consultant in order to meet the medical record requirements of this Part. </w:t>
      </w:r>
    </w:p>
    <w:p w:rsidR="00452A42" w:rsidRDefault="00452A42" w:rsidP="00452A42">
      <w:pPr>
        <w:widowControl w:val="0"/>
        <w:autoSpaceDE w:val="0"/>
        <w:autoSpaceDN w:val="0"/>
        <w:adjustRightInd w:val="0"/>
      </w:pPr>
    </w:p>
    <w:p w:rsidR="00452A42" w:rsidRDefault="00452A42" w:rsidP="00452A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10645, effective July 1, 2002) </w:t>
      </w:r>
    </w:p>
    <w:sectPr w:rsidR="00452A42" w:rsidSect="00452A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A42"/>
    <w:rsid w:val="00452A42"/>
    <w:rsid w:val="005C3366"/>
    <w:rsid w:val="00A27B33"/>
    <w:rsid w:val="00AE3811"/>
    <w:rsid w:val="00DC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