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64" w:rsidRDefault="00211864" w:rsidP="00211864">
      <w:pPr>
        <w:widowControl w:val="0"/>
        <w:autoSpaceDE w:val="0"/>
        <w:autoSpaceDN w:val="0"/>
        <w:adjustRightInd w:val="0"/>
      </w:pPr>
      <w:bookmarkStart w:id="0" w:name="_GoBack"/>
      <w:bookmarkEnd w:id="0"/>
    </w:p>
    <w:p w:rsidR="00211864" w:rsidRDefault="00211864" w:rsidP="00211864">
      <w:pPr>
        <w:widowControl w:val="0"/>
        <w:autoSpaceDE w:val="0"/>
        <w:autoSpaceDN w:val="0"/>
        <w:adjustRightInd w:val="0"/>
      </w:pPr>
      <w:r>
        <w:rPr>
          <w:b/>
          <w:bCs/>
        </w:rPr>
        <w:t>Section 250.2660  Mechanical</w:t>
      </w:r>
      <w:r>
        <w:t xml:space="preserve"> </w:t>
      </w:r>
    </w:p>
    <w:p w:rsidR="00211864" w:rsidRDefault="00211864" w:rsidP="00211864">
      <w:pPr>
        <w:widowControl w:val="0"/>
        <w:autoSpaceDE w:val="0"/>
        <w:autoSpaceDN w:val="0"/>
        <w:adjustRightInd w:val="0"/>
      </w:pPr>
    </w:p>
    <w:p w:rsidR="00211864" w:rsidRDefault="00211864" w:rsidP="00211864">
      <w:pPr>
        <w:widowControl w:val="0"/>
        <w:autoSpaceDE w:val="0"/>
        <w:autoSpaceDN w:val="0"/>
        <w:adjustRightInd w:val="0"/>
        <w:ind w:left="1440" w:hanging="720"/>
      </w:pPr>
      <w:r>
        <w:t>a)</w:t>
      </w:r>
      <w:r>
        <w:tab/>
        <w:t>Any retrofit of existing heating, ventilating</w:t>
      </w:r>
      <w:r w:rsidR="009C1FDC">
        <w:t>, or</w:t>
      </w:r>
      <w:r>
        <w:t xml:space="preserve"> air conditioning systems for energy conservation purposes may meet any or all of the requirements of Section 250.2480 (Mechanical) in lieu of the parallel requirements of this Section. </w:t>
      </w:r>
    </w:p>
    <w:p w:rsidR="00093E1D" w:rsidRDefault="00093E1D" w:rsidP="00211864">
      <w:pPr>
        <w:widowControl w:val="0"/>
        <w:autoSpaceDE w:val="0"/>
        <w:autoSpaceDN w:val="0"/>
        <w:adjustRightInd w:val="0"/>
        <w:ind w:left="1440" w:hanging="720"/>
      </w:pPr>
    </w:p>
    <w:p w:rsidR="00211864" w:rsidRDefault="00211864" w:rsidP="00211864">
      <w:pPr>
        <w:widowControl w:val="0"/>
        <w:autoSpaceDE w:val="0"/>
        <w:autoSpaceDN w:val="0"/>
        <w:adjustRightInd w:val="0"/>
        <w:ind w:left="1440" w:hanging="720"/>
      </w:pPr>
      <w:r>
        <w:t>b)</w:t>
      </w:r>
      <w:r>
        <w:tab/>
        <w:t>Boiler feed pumps, return pumps</w:t>
      </w:r>
      <w:r w:rsidR="005E176A">
        <w:t>,</w:t>
      </w:r>
      <w:r>
        <w:t xml:space="preserve"> and circulating pumps shall be furnished in duplicate, each of which has a capacity to carry the full load. Blow off valves, relief valves, nonreturn valves, injectors and fittings shall be provided to meet the requirements of the city and state codes and recommendations of the </w:t>
      </w:r>
      <w:r w:rsidR="009C1FDC">
        <w:t>American Society of Mechanical Engineers</w:t>
      </w:r>
      <w:r>
        <w:t xml:space="preserve">. </w:t>
      </w:r>
    </w:p>
    <w:p w:rsidR="00093E1D" w:rsidRDefault="00093E1D" w:rsidP="00211864">
      <w:pPr>
        <w:widowControl w:val="0"/>
        <w:autoSpaceDE w:val="0"/>
        <w:autoSpaceDN w:val="0"/>
        <w:adjustRightInd w:val="0"/>
        <w:ind w:left="1440" w:hanging="720"/>
      </w:pPr>
    </w:p>
    <w:p w:rsidR="00211864" w:rsidRDefault="00211864" w:rsidP="00211864">
      <w:pPr>
        <w:widowControl w:val="0"/>
        <w:autoSpaceDE w:val="0"/>
        <w:autoSpaceDN w:val="0"/>
        <w:adjustRightInd w:val="0"/>
        <w:ind w:left="1440" w:hanging="720"/>
      </w:pPr>
      <w:r>
        <w:t>c)</w:t>
      </w:r>
      <w:r>
        <w:tab/>
        <w:t xml:space="preserve">Air Conditioning, Heating and Ventilating Systems </w:t>
      </w:r>
    </w:p>
    <w:p w:rsidR="00093E1D" w:rsidRDefault="00093E1D" w:rsidP="00211864">
      <w:pPr>
        <w:widowControl w:val="0"/>
        <w:autoSpaceDE w:val="0"/>
        <w:autoSpaceDN w:val="0"/>
        <w:adjustRightInd w:val="0"/>
        <w:ind w:left="2160" w:hanging="720"/>
      </w:pPr>
    </w:p>
    <w:p w:rsidR="00211864" w:rsidRDefault="00211864" w:rsidP="00211864">
      <w:pPr>
        <w:widowControl w:val="0"/>
        <w:autoSpaceDE w:val="0"/>
        <w:autoSpaceDN w:val="0"/>
        <w:adjustRightInd w:val="0"/>
        <w:ind w:left="2160" w:hanging="720"/>
      </w:pPr>
      <w:r>
        <w:t>1)</w:t>
      </w:r>
      <w:r>
        <w:tab/>
        <w:t xml:space="preserve">The systems should be capable of providing the following temperatures and humidities in the following areas: </w:t>
      </w:r>
    </w:p>
    <w:p w:rsidR="0086090D" w:rsidRDefault="0086090D" w:rsidP="00211864">
      <w:pPr>
        <w:widowControl w:val="0"/>
        <w:autoSpaceDE w:val="0"/>
        <w:autoSpaceDN w:val="0"/>
        <w:adjustRightInd w:val="0"/>
        <w:ind w:left="2160" w:hanging="720"/>
      </w:pPr>
    </w:p>
    <w:tbl>
      <w:tblPr>
        <w:tblW w:w="0" w:type="auto"/>
        <w:tblInd w:w="2217" w:type="dxa"/>
        <w:tblLayout w:type="fixed"/>
        <w:tblLook w:val="0000" w:firstRow="0" w:lastRow="0" w:firstColumn="0" w:lastColumn="0" w:noHBand="0" w:noVBand="0"/>
      </w:tblPr>
      <w:tblGrid>
        <w:gridCol w:w="2850"/>
        <w:gridCol w:w="997"/>
        <w:gridCol w:w="998"/>
        <w:gridCol w:w="1149"/>
        <w:gridCol w:w="1149"/>
      </w:tblGrid>
      <w:tr w:rsidR="0086090D">
        <w:tblPrEx>
          <w:tblCellMar>
            <w:top w:w="0" w:type="dxa"/>
            <w:bottom w:w="0" w:type="dxa"/>
          </w:tblCellMar>
        </w:tblPrEx>
        <w:tc>
          <w:tcPr>
            <w:tcW w:w="2850" w:type="dxa"/>
            <w:vAlign w:val="bottom"/>
          </w:tcPr>
          <w:p w:rsidR="0086090D" w:rsidRDefault="0086090D" w:rsidP="0086090D">
            <w:pPr>
              <w:widowControl w:val="0"/>
              <w:autoSpaceDE w:val="0"/>
              <w:autoSpaceDN w:val="0"/>
              <w:adjustRightInd w:val="0"/>
              <w:jc w:val="center"/>
            </w:pPr>
          </w:p>
        </w:tc>
        <w:tc>
          <w:tcPr>
            <w:tcW w:w="1995" w:type="dxa"/>
            <w:gridSpan w:val="2"/>
            <w:tcBorders>
              <w:bottom w:val="single" w:sz="4" w:space="0" w:color="auto"/>
            </w:tcBorders>
            <w:vAlign w:val="bottom"/>
          </w:tcPr>
          <w:p w:rsidR="0086090D" w:rsidRDefault="0086090D" w:rsidP="0086090D">
            <w:pPr>
              <w:widowControl w:val="0"/>
              <w:autoSpaceDE w:val="0"/>
              <w:autoSpaceDN w:val="0"/>
              <w:adjustRightInd w:val="0"/>
              <w:jc w:val="center"/>
            </w:pPr>
            <w:r>
              <w:t>Temperature</w:t>
            </w:r>
          </w:p>
        </w:tc>
        <w:tc>
          <w:tcPr>
            <w:tcW w:w="2298" w:type="dxa"/>
            <w:gridSpan w:val="2"/>
            <w:tcBorders>
              <w:bottom w:val="single" w:sz="4" w:space="0" w:color="auto"/>
            </w:tcBorders>
            <w:vAlign w:val="bottom"/>
          </w:tcPr>
          <w:p w:rsidR="0086090D" w:rsidRDefault="0086090D" w:rsidP="0086090D">
            <w:pPr>
              <w:widowControl w:val="0"/>
              <w:autoSpaceDE w:val="0"/>
              <w:autoSpaceDN w:val="0"/>
              <w:adjustRightInd w:val="0"/>
              <w:jc w:val="center"/>
            </w:pPr>
            <w:r>
              <w:t>Relative Humidity %</w:t>
            </w:r>
          </w:p>
        </w:tc>
      </w:tr>
      <w:tr w:rsidR="0086090D">
        <w:tblPrEx>
          <w:tblCellMar>
            <w:top w:w="0" w:type="dxa"/>
            <w:bottom w:w="0" w:type="dxa"/>
          </w:tblCellMar>
        </w:tblPrEx>
        <w:tc>
          <w:tcPr>
            <w:tcW w:w="2850" w:type="dxa"/>
            <w:tcBorders>
              <w:bottom w:val="single" w:sz="4" w:space="0" w:color="auto"/>
            </w:tcBorders>
            <w:vAlign w:val="bottom"/>
          </w:tcPr>
          <w:p w:rsidR="0086090D" w:rsidRDefault="0086090D" w:rsidP="0086090D">
            <w:pPr>
              <w:widowControl w:val="0"/>
              <w:autoSpaceDE w:val="0"/>
              <w:autoSpaceDN w:val="0"/>
              <w:adjustRightInd w:val="0"/>
              <w:jc w:val="center"/>
            </w:pPr>
            <w:r>
              <w:t>Area Designation</w:t>
            </w:r>
          </w:p>
        </w:tc>
        <w:tc>
          <w:tcPr>
            <w:tcW w:w="997" w:type="dxa"/>
            <w:tcBorders>
              <w:top w:val="single" w:sz="4" w:space="0" w:color="auto"/>
              <w:bottom w:val="single" w:sz="4" w:space="0" w:color="auto"/>
            </w:tcBorders>
            <w:vAlign w:val="bottom"/>
          </w:tcPr>
          <w:p w:rsidR="0086090D" w:rsidRDefault="0086090D" w:rsidP="0086090D">
            <w:pPr>
              <w:widowControl w:val="0"/>
              <w:autoSpaceDE w:val="0"/>
              <w:autoSpaceDN w:val="0"/>
              <w:adjustRightInd w:val="0"/>
              <w:jc w:val="center"/>
            </w:pPr>
            <w:r>
              <w:t>ºF</w:t>
            </w:r>
          </w:p>
        </w:tc>
        <w:tc>
          <w:tcPr>
            <w:tcW w:w="998" w:type="dxa"/>
            <w:tcBorders>
              <w:top w:val="single" w:sz="4" w:space="0" w:color="auto"/>
              <w:bottom w:val="single" w:sz="4" w:space="0" w:color="auto"/>
            </w:tcBorders>
            <w:vAlign w:val="bottom"/>
          </w:tcPr>
          <w:p w:rsidR="0086090D" w:rsidRDefault="0086090D" w:rsidP="0086090D">
            <w:pPr>
              <w:widowControl w:val="0"/>
              <w:autoSpaceDE w:val="0"/>
              <w:autoSpaceDN w:val="0"/>
              <w:adjustRightInd w:val="0"/>
              <w:jc w:val="center"/>
            </w:pPr>
            <w:r>
              <w:t>ºC</w:t>
            </w:r>
          </w:p>
        </w:tc>
        <w:tc>
          <w:tcPr>
            <w:tcW w:w="1149" w:type="dxa"/>
            <w:tcBorders>
              <w:top w:val="single" w:sz="4" w:space="0" w:color="auto"/>
              <w:bottom w:val="single" w:sz="4" w:space="0" w:color="auto"/>
            </w:tcBorders>
            <w:vAlign w:val="bottom"/>
          </w:tcPr>
          <w:p w:rsidR="0086090D" w:rsidRDefault="0086090D" w:rsidP="0086090D">
            <w:pPr>
              <w:widowControl w:val="0"/>
              <w:autoSpaceDE w:val="0"/>
              <w:autoSpaceDN w:val="0"/>
              <w:adjustRightInd w:val="0"/>
              <w:jc w:val="center"/>
            </w:pPr>
            <w:r>
              <w:t>Min.</w:t>
            </w:r>
          </w:p>
        </w:tc>
        <w:tc>
          <w:tcPr>
            <w:tcW w:w="1149" w:type="dxa"/>
            <w:tcBorders>
              <w:top w:val="single" w:sz="4" w:space="0" w:color="auto"/>
              <w:bottom w:val="single" w:sz="4" w:space="0" w:color="auto"/>
            </w:tcBorders>
            <w:vAlign w:val="bottom"/>
          </w:tcPr>
          <w:p w:rsidR="0086090D" w:rsidRDefault="0086090D" w:rsidP="0086090D">
            <w:pPr>
              <w:widowControl w:val="0"/>
              <w:autoSpaceDE w:val="0"/>
              <w:autoSpaceDN w:val="0"/>
              <w:adjustRightInd w:val="0"/>
              <w:jc w:val="center"/>
            </w:pPr>
            <w:r>
              <w:t>Max.</w:t>
            </w:r>
          </w:p>
        </w:tc>
      </w:tr>
      <w:tr w:rsidR="0086090D">
        <w:tblPrEx>
          <w:tblCellMar>
            <w:top w:w="0" w:type="dxa"/>
            <w:bottom w:w="0" w:type="dxa"/>
          </w:tblCellMar>
        </w:tblPrEx>
        <w:trPr>
          <w:trHeight w:val="485"/>
        </w:trPr>
        <w:tc>
          <w:tcPr>
            <w:tcW w:w="2850" w:type="dxa"/>
            <w:tcBorders>
              <w:top w:val="single" w:sz="4" w:space="0" w:color="auto"/>
            </w:tcBorders>
            <w:vAlign w:val="bottom"/>
          </w:tcPr>
          <w:p w:rsidR="0086090D" w:rsidRDefault="0086090D" w:rsidP="00211864">
            <w:pPr>
              <w:widowControl w:val="0"/>
              <w:autoSpaceDE w:val="0"/>
              <w:autoSpaceDN w:val="0"/>
              <w:adjustRightInd w:val="0"/>
            </w:pPr>
            <w:r>
              <w:t>Operating Room</w:t>
            </w:r>
          </w:p>
        </w:tc>
        <w:tc>
          <w:tcPr>
            <w:tcW w:w="997" w:type="dxa"/>
            <w:tcBorders>
              <w:top w:val="single" w:sz="4" w:space="0" w:color="auto"/>
            </w:tcBorders>
            <w:vAlign w:val="bottom"/>
          </w:tcPr>
          <w:p w:rsidR="0086090D" w:rsidRDefault="0086090D" w:rsidP="0086090D">
            <w:pPr>
              <w:widowControl w:val="0"/>
              <w:autoSpaceDE w:val="0"/>
              <w:autoSpaceDN w:val="0"/>
              <w:adjustRightInd w:val="0"/>
              <w:jc w:val="center"/>
            </w:pPr>
            <w:r>
              <w:t>70-76*</w:t>
            </w:r>
          </w:p>
        </w:tc>
        <w:tc>
          <w:tcPr>
            <w:tcW w:w="998" w:type="dxa"/>
            <w:tcBorders>
              <w:top w:val="single" w:sz="4" w:space="0" w:color="auto"/>
            </w:tcBorders>
            <w:vAlign w:val="bottom"/>
          </w:tcPr>
          <w:p w:rsidR="0086090D" w:rsidRDefault="0086090D" w:rsidP="0086090D">
            <w:pPr>
              <w:widowControl w:val="0"/>
              <w:autoSpaceDE w:val="0"/>
              <w:autoSpaceDN w:val="0"/>
              <w:adjustRightInd w:val="0"/>
              <w:jc w:val="center"/>
            </w:pPr>
            <w:r>
              <w:t>21-24*</w:t>
            </w:r>
          </w:p>
        </w:tc>
        <w:tc>
          <w:tcPr>
            <w:tcW w:w="1149" w:type="dxa"/>
            <w:tcBorders>
              <w:top w:val="single" w:sz="4" w:space="0" w:color="auto"/>
            </w:tcBorders>
            <w:vAlign w:val="bottom"/>
          </w:tcPr>
          <w:p w:rsidR="0086090D" w:rsidRDefault="0086090D" w:rsidP="0086090D">
            <w:pPr>
              <w:widowControl w:val="0"/>
              <w:autoSpaceDE w:val="0"/>
              <w:autoSpaceDN w:val="0"/>
              <w:adjustRightInd w:val="0"/>
              <w:jc w:val="center"/>
            </w:pPr>
            <w:r>
              <w:t>50</w:t>
            </w:r>
          </w:p>
        </w:tc>
        <w:tc>
          <w:tcPr>
            <w:tcW w:w="1149" w:type="dxa"/>
            <w:tcBorders>
              <w:top w:val="single" w:sz="4" w:space="0" w:color="auto"/>
            </w:tcBorders>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78"/>
        </w:trPr>
        <w:tc>
          <w:tcPr>
            <w:tcW w:w="2850" w:type="dxa"/>
            <w:vAlign w:val="bottom"/>
          </w:tcPr>
          <w:p w:rsidR="0086090D" w:rsidRDefault="0086090D" w:rsidP="00211864">
            <w:pPr>
              <w:widowControl w:val="0"/>
              <w:autoSpaceDE w:val="0"/>
              <w:autoSpaceDN w:val="0"/>
              <w:adjustRightInd w:val="0"/>
            </w:pPr>
            <w:r>
              <w:t>Delivery Room</w:t>
            </w:r>
          </w:p>
        </w:tc>
        <w:tc>
          <w:tcPr>
            <w:tcW w:w="997" w:type="dxa"/>
            <w:vAlign w:val="bottom"/>
          </w:tcPr>
          <w:p w:rsidR="0086090D" w:rsidRDefault="0086090D" w:rsidP="0086090D">
            <w:pPr>
              <w:widowControl w:val="0"/>
              <w:autoSpaceDE w:val="0"/>
              <w:autoSpaceDN w:val="0"/>
              <w:adjustRightInd w:val="0"/>
              <w:jc w:val="center"/>
            </w:pPr>
            <w:r>
              <w:t>70-76*</w:t>
            </w:r>
          </w:p>
        </w:tc>
        <w:tc>
          <w:tcPr>
            <w:tcW w:w="998" w:type="dxa"/>
            <w:vAlign w:val="bottom"/>
          </w:tcPr>
          <w:p w:rsidR="0086090D" w:rsidRDefault="0086090D" w:rsidP="0086090D">
            <w:pPr>
              <w:widowControl w:val="0"/>
              <w:autoSpaceDE w:val="0"/>
              <w:autoSpaceDN w:val="0"/>
              <w:adjustRightInd w:val="0"/>
              <w:jc w:val="center"/>
            </w:pPr>
            <w:r>
              <w:t>21-24*</w:t>
            </w:r>
          </w:p>
        </w:tc>
        <w:tc>
          <w:tcPr>
            <w:tcW w:w="1149" w:type="dxa"/>
            <w:vAlign w:val="bottom"/>
          </w:tcPr>
          <w:p w:rsidR="0086090D" w:rsidRDefault="0086090D" w:rsidP="0086090D">
            <w:pPr>
              <w:widowControl w:val="0"/>
              <w:autoSpaceDE w:val="0"/>
              <w:autoSpaceDN w:val="0"/>
              <w:adjustRightInd w:val="0"/>
              <w:jc w:val="center"/>
            </w:pPr>
            <w:r>
              <w:t>50</w:t>
            </w:r>
          </w:p>
        </w:tc>
        <w:tc>
          <w:tcPr>
            <w:tcW w:w="1149" w:type="dxa"/>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60"/>
        </w:trPr>
        <w:tc>
          <w:tcPr>
            <w:tcW w:w="2850" w:type="dxa"/>
            <w:vAlign w:val="bottom"/>
          </w:tcPr>
          <w:p w:rsidR="0086090D" w:rsidRDefault="0086090D" w:rsidP="00211864">
            <w:pPr>
              <w:widowControl w:val="0"/>
              <w:autoSpaceDE w:val="0"/>
              <w:autoSpaceDN w:val="0"/>
              <w:adjustRightInd w:val="0"/>
            </w:pPr>
            <w:r>
              <w:t>Recovery Room</w:t>
            </w:r>
          </w:p>
        </w:tc>
        <w:tc>
          <w:tcPr>
            <w:tcW w:w="997" w:type="dxa"/>
            <w:vAlign w:val="bottom"/>
          </w:tcPr>
          <w:p w:rsidR="0086090D" w:rsidRDefault="0086090D" w:rsidP="0086090D">
            <w:pPr>
              <w:widowControl w:val="0"/>
              <w:autoSpaceDE w:val="0"/>
              <w:autoSpaceDN w:val="0"/>
              <w:adjustRightInd w:val="0"/>
              <w:jc w:val="center"/>
            </w:pPr>
            <w:r>
              <w:t>75</w:t>
            </w:r>
          </w:p>
        </w:tc>
        <w:tc>
          <w:tcPr>
            <w:tcW w:w="998" w:type="dxa"/>
            <w:vAlign w:val="bottom"/>
          </w:tcPr>
          <w:p w:rsidR="0086090D" w:rsidRDefault="0086090D" w:rsidP="0086090D">
            <w:pPr>
              <w:widowControl w:val="0"/>
              <w:autoSpaceDE w:val="0"/>
              <w:autoSpaceDN w:val="0"/>
              <w:adjustRightInd w:val="0"/>
              <w:jc w:val="center"/>
            </w:pPr>
            <w:r>
              <w:t>24</w:t>
            </w:r>
          </w:p>
        </w:tc>
        <w:tc>
          <w:tcPr>
            <w:tcW w:w="1149" w:type="dxa"/>
            <w:vAlign w:val="bottom"/>
          </w:tcPr>
          <w:p w:rsidR="0086090D" w:rsidRDefault="0086090D" w:rsidP="0086090D">
            <w:pPr>
              <w:widowControl w:val="0"/>
              <w:autoSpaceDE w:val="0"/>
              <w:autoSpaceDN w:val="0"/>
              <w:adjustRightInd w:val="0"/>
              <w:jc w:val="center"/>
            </w:pPr>
            <w:r>
              <w:t>50</w:t>
            </w:r>
          </w:p>
        </w:tc>
        <w:tc>
          <w:tcPr>
            <w:tcW w:w="1149" w:type="dxa"/>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60"/>
        </w:trPr>
        <w:tc>
          <w:tcPr>
            <w:tcW w:w="2850" w:type="dxa"/>
            <w:vAlign w:val="bottom"/>
          </w:tcPr>
          <w:p w:rsidR="0086090D" w:rsidRDefault="0086090D" w:rsidP="00211864">
            <w:pPr>
              <w:widowControl w:val="0"/>
              <w:autoSpaceDE w:val="0"/>
              <w:autoSpaceDN w:val="0"/>
              <w:adjustRightInd w:val="0"/>
            </w:pPr>
            <w:r>
              <w:t>Intensive Care Units</w:t>
            </w:r>
          </w:p>
        </w:tc>
        <w:tc>
          <w:tcPr>
            <w:tcW w:w="997" w:type="dxa"/>
            <w:vAlign w:val="bottom"/>
          </w:tcPr>
          <w:p w:rsidR="0086090D" w:rsidRDefault="0086090D" w:rsidP="0086090D">
            <w:pPr>
              <w:widowControl w:val="0"/>
              <w:autoSpaceDE w:val="0"/>
              <w:autoSpaceDN w:val="0"/>
              <w:adjustRightInd w:val="0"/>
              <w:jc w:val="center"/>
            </w:pPr>
            <w:r>
              <w:t>75-80*</w:t>
            </w:r>
          </w:p>
        </w:tc>
        <w:tc>
          <w:tcPr>
            <w:tcW w:w="998" w:type="dxa"/>
            <w:vAlign w:val="bottom"/>
          </w:tcPr>
          <w:p w:rsidR="0086090D" w:rsidRDefault="0086090D" w:rsidP="0086090D">
            <w:pPr>
              <w:widowControl w:val="0"/>
              <w:autoSpaceDE w:val="0"/>
              <w:autoSpaceDN w:val="0"/>
              <w:adjustRightInd w:val="0"/>
              <w:jc w:val="center"/>
            </w:pPr>
            <w:r>
              <w:t>24-27*</w:t>
            </w:r>
          </w:p>
        </w:tc>
        <w:tc>
          <w:tcPr>
            <w:tcW w:w="1149" w:type="dxa"/>
            <w:vAlign w:val="bottom"/>
          </w:tcPr>
          <w:p w:rsidR="0086090D" w:rsidRDefault="0086090D" w:rsidP="0086090D">
            <w:pPr>
              <w:widowControl w:val="0"/>
              <w:autoSpaceDE w:val="0"/>
              <w:autoSpaceDN w:val="0"/>
              <w:adjustRightInd w:val="0"/>
              <w:jc w:val="center"/>
            </w:pPr>
            <w:r>
              <w:t>30</w:t>
            </w:r>
          </w:p>
        </w:tc>
        <w:tc>
          <w:tcPr>
            <w:tcW w:w="1149" w:type="dxa"/>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60"/>
        </w:trPr>
        <w:tc>
          <w:tcPr>
            <w:tcW w:w="2850" w:type="dxa"/>
            <w:vAlign w:val="bottom"/>
          </w:tcPr>
          <w:p w:rsidR="0086090D" w:rsidRDefault="0086090D" w:rsidP="00211864">
            <w:pPr>
              <w:widowControl w:val="0"/>
              <w:autoSpaceDE w:val="0"/>
              <w:autoSpaceDN w:val="0"/>
              <w:adjustRightInd w:val="0"/>
            </w:pPr>
            <w:r>
              <w:t>Nursing Units</w:t>
            </w:r>
          </w:p>
        </w:tc>
        <w:tc>
          <w:tcPr>
            <w:tcW w:w="997" w:type="dxa"/>
            <w:vAlign w:val="bottom"/>
          </w:tcPr>
          <w:p w:rsidR="0086090D" w:rsidRDefault="0086090D" w:rsidP="0086090D">
            <w:pPr>
              <w:widowControl w:val="0"/>
              <w:autoSpaceDE w:val="0"/>
              <w:autoSpaceDN w:val="0"/>
              <w:adjustRightInd w:val="0"/>
              <w:jc w:val="center"/>
            </w:pPr>
            <w:r>
              <w:t>75</w:t>
            </w:r>
          </w:p>
        </w:tc>
        <w:tc>
          <w:tcPr>
            <w:tcW w:w="998" w:type="dxa"/>
            <w:vAlign w:val="bottom"/>
          </w:tcPr>
          <w:p w:rsidR="0086090D" w:rsidRDefault="0086090D" w:rsidP="0086090D">
            <w:pPr>
              <w:widowControl w:val="0"/>
              <w:autoSpaceDE w:val="0"/>
              <w:autoSpaceDN w:val="0"/>
              <w:adjustRightInd w:val="0"/>
              <w:jc w:val="center"/>
            </w:pPr>
            <w:r>
              <w:t>24</w:t>
            </w:r>
          </w:p>
        </w:tc>
        <w:tc>
          <w:tcPr>
            <w:tcW w:w="1149" w:type="dxa"/>
            <w:vAlign w:val="bottom"/>
          </w:tcPr>
          <w:p w:rsidR="0086090D" w:rsidRDefault="0086090D" w:rsidP="0086090D">
            <w:pPr>
              <w:widowControl w:val="0"/>
              <w:autoSpaceDE w:val="0"/>
              <w:autoSpaceDN w:val="0"/>
              <w:adjustRightInd w:val="0"/>
              <w:jc w:val="center"/>
            </w:pPr>
            <w:r>
              <w:t>30</w:t>
            </w:r>
          </w:p>
        </w:tc>
        <w:tc>
          <w:tcPr>
            <w:tcW w:w="1149" w:type="dxa"/>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69"/>
        </w:trPr>
        <w:tc>
          <w:tcPr>
            <w:tcW w:w="2850" w:type="dxa"/>
            <w:vAlign w:val="bottom"/>
          </w:tcPr>
          <w:p w:rsidR="0086090D" w:rsidRDefault="0086090D" w:rsidP="00211864">
            <w:pPr>
              <w:widowControl w:val="0"/>
              <w:autoSpaceDE w:val="0"/>
              <w:autoSpaceDN w:val="0"/>
              <w:adjustRightInd w:val="0"/>
            </w:pPr>
            <w:r>
              <w:t>Special Care Nusery Units</w:t>
            </w:r>
          </w:p>
        </w:tc>
        <w:tc>
          <w:tcPr>
            <w:tcW w:w="997" w:type="dxa"/>
            <w:vAlign w:val="bottom"/>
          </w:tcPr>
          <w:p w:rsidR="0086090D" w:rsidRDefault="0086090D" w:rsidP="0086090D">
            <w:pPr>
              <w:widowControl w:val="0"/>
              <w:autoSpaceDE w:val="0"/>
              <w:autoSpaceDN w:val="0"/>
              <w:adjustRightInd w:val="0"/>
              <w:jc w:val="center"/>
            </w:pPr>
            <w:r>
              <w:t>75-80*</w:t>
            </w:r>
          </w:p>
        </w:tc>
        <w:tc>
          <w:tcPr>
            <w:tcW w:w="998" w:type="dxa"/>
            <w:vAlign w:val="bottom"/>
          </w:tcPr>
          <w:p w:rsidR="0086090D" w:rsidRDefault="0086090D" w:rsidP="0086090D">
            <w:pPr>
              <w:widowControl w:val="0"/>
              <w:autoSpaceDE w:val="0"/>
              <w:autoSpaceDN w:val="0"/>
              <w:adjustRightInd w:val="0"/>
              <w:jc w:val="center"/>
            </w:pPr>
            <w:r>
              <w:t>24-27*</w:t>
            </w:r>
          </w:p>
        </w:tc>
        <w:tc>
          <w:tcPr>
            <w:tcW w:w="1149" w:type="dxa"/>
            <w:vAlign w:val="bottom"/>
          </w:tcPr>
          <w:p w:rsidR="0086090D" w:rsidRDefault="0086090D" w:rsidP="0086090D">
            <w:pPr>
              <w:widowControl w:val="0"/>
              <w:autoSpaceDE w:val="0"/>
              <w:autoSpaceDN w:val="0"/>
              <w:adjustRightInd w:val="0"/>
              <w:jc w:val="center"/>
            </w:pPr>
            <w:r>
              <w:t>30</w:t>
            </w:r>
          </w:p>
        </w:tc>
        <w:tc>
          <w:tcPr>
            <w:tcW w:w="1149" w:type="dxa"/>
            <w:vAlign w:val="bottom"/>
          </w:tcPr>
          <w:p w:rsidR="0086090D" w:rsidRDefault="0086090D" w:rsidP="0086090D">
            <w:pPr>
              <w:widowControl w:val="0"/>
              <w:autoSpaceDE w:val="0"/>
              <w:autoSpaceDN w:val="0"/>
              <w:adjustRightInd w:val="0"/>
              <w:jc w:val="center"/>
            </w:pPr>
            <w:r>
              <w:t>60</w:t>
            </w:r>
          </w:p>
        </w:tc>
      </w:tr>
      <w:tr w:rsidR="0086090D">
        <w:tblPrEx>
          <w:tblCellMar>
            <w:top w:w="0" w:type="dxa"/>
            <w:bottom w:w="0" w:type="dxa"/>
          </w:tblCellMar>
        </w:tblPrEx>
        <w:trPr>
          <w:trHeight w:val="387"/>
        </w:trPr>
        <w:tc>
          <w:tcPr>
            <w:tcW w:w="2850" w:type="dxa"/>
            <w:vAlign w:val="bottom"/>
          </w:tcPr>
          <w:p w:rsidR="0086090D" w:rsidRDefault="0086090D" w:rsidP="00211864">
            <w:pPr>
              <w:widowControl w:val="0"/>
              <w:autoSpaceDE w:val="0"/>
              <w:autoSpaceDN w:val="0"/>
              <w:adjustRightInd w:val="0"/>
            </w:pPr>
            <w:r>
              <w:t>Other patient areas</w:t>
            </w:r>
          </w:p>
        </w:tc>
        <w:tc>
          <w:tcPr>
            <w:tcW w:w="997" w:type="dxa"/>
            <w:vAlign w:val="bottom"/>
          </w:tcPr>
          <w:p w:rsidR="0086090D" w:rsidRDefault="0086090D" w:rsidP="0086090D">
            <w:pPr>
              <w:widowControl w:val="0"/>
              <w:autoSpaceDE w:val="0"/>
              <w:autoSpaceDN w:val="0"/>
              <w:adjustRightInd w:val="0"/>
              <w:jc w:val="center"/>
            </w:pPr>
            <w:r>
              <w:t>75</w:t>
            </w:r>
          </w:p>
        </w:tc>
        <w:tc>
          <w:tcPr>
            <w:tcW w:w="998" w:type="dxa"/>
            <w:vAlign w:val="bottom"/>
          </w:tcPr>
          <w:p w:rsidR="0086090D" w:rsidRDefault="0086090D" w:rsidP="0086090D">
            <w:pPr>
              <w:widowControl w:val="0"/>
              <w:autoSpaceDE w:val="0"/>
              <w:autoSpaceDN w:val="0"/>
              <w:adjustRightInd w:val="0"/>
              <w:jc w:val="center"/>
            </w:pPr>
            <w:r>
              <w:t>24</w:t>
            </w:r>
          </w:p>
        </w:tc>
        <w:tc>
          <w:tcPr>
            <w:tcW w:w="1149" w:type="dxa"/>
            <w:vAlign w:val="bottom"/>
          </w:tcPr>
          <w:p w:rsidR="0086090D" w:rsidRDefault="0086090D" w:rsidP="0086090D">
            <w:pPr>
              <w:widowControl w:val="0"/>
              <w:autoSpaceDE w:val="0"/>
              <w:autoSpaceDN w:val="0"/>
              <w:adjustRightInd w:val="0"/>
              <w:jc w:val="center"/>
            </w:pPr>
          </w:p>
        </w:tc>
        <w:tc>
          <w:tcPr>
            <w:tcW w:w="1149" w:type="dxa"/>
            <w:vAlign w:val="bottom"/>
          </w:tcPr>
          <w:p w:rsidR="0086090D" w:rsidRDefault="0086090D" w:rsidP="0086090D">
            <w:pPr>
              <w:widowControl w:val="0"/>
              <w:autoSpaceDE w:val="0"/>
              <w:autoSpaceDN w:val="0"/>
              <w:adjustRightInd w:val="0"/>
              <w:jc w:val="center"/>
            </w:pPr>
          </w:p>
        </w:tc>
      </w:tr>
      <w:tr w:rsidR="0086090D">
        <w:tblPrEx>
          <w:tblCellMar>
            <w:top w:w="0" w:type="dxa"/>
            <w:bottom w:w="0" w:type="dxa"/>
          </w:tblCellMar>
        </w:tblPrEx>
        <w:trPr>
          <w:trHeight w:val="423"/>
        </w:trPr>
        <w:tc>
          <w:tcPr>
            <w:tcW w:w="2850" w:type="dxa"/>
            <w:vAlign w:val="bottom"/>
          </w:tcPr>
          <w:p w:rsidR="0086090D" w:rsidRDefault="0086090D" w:rsidP="00211864">
            <w:pPr>
              <w:widowControl w:val="0"/>
              <w:autoSpaceDE w:val="0"/>
              <w:autoSpaceDN w:val="0"/>
              <w:adjustRightInd w:val="0"/>
            </w:pPr>
            <w:r>
              <w:t>*Variable range required</w:t>
            </w:r>
          </w:p>
        </w:tc>
        <w:tc>
          <w:tcPr>
            <w:tcW w:w="997" w:type="dxa"/>
            <w:vAlign w:val="bottom"/>
          </w:tcPr>
          <w:p w:rsidR="0086090D" w:rsidRDefault="0086090D" w:rsidP="00211864">
            <w:pPr>
              <w:widowControl w:val="0"/>
              <w:autoSpaceDE w:val="0"/>
              <w:autoSpaceDN w:val="0"/>
              <w:adjustRightInd w:val="0"/>
            </w:pPr>
          </w:p>
        </w:tc>
        <w:tc>
          <w:tcPr>
            <w:tcW w:w="998" w:type="dxa"/>
            <w:vAlign w:val="bottom"/>
          </w:tcPr>
          <w:p w:rsidR="0086090D" w:rsidRDefault="0086090D" w:rsidP="00211864">
            <w:pPr>
              <w:widowControl w:val="0"/>
              <w:autoSpaceDE w:val="0"/>
              <w:autoSpaceDN w:val="0"/>
              <w:adjustRightInd w:val="0"/>
            </w:pPr>
          </w:p>
        </w:tc>
        <w:tc>
          <w:tcPr>
            <w:tcW w:w="1149" w:type="dxa"/>
            <w:vAlign w:val="bottom"/>
          </w:tcPr>
          <w:p w:rsidR="0086090D" w:rsidRDefault="0086090D" w:rsidP="00211864">
            <w:pPr>
              <w:widowControl w:val="0"/>
              <w:autoSpaceDE w:val="0"/>
              <w:autoSpaceDN w:val="0"/>
              <w:adjustRightInd w:val="0"/>
            </w:pPr>
          </w:p>
        </w:tc>
        <w:tc>
          <w:tcPr>
            <w:tcW w:w="1149" w:type="dxa"/>
            <w:vAlign w:val="bottom"/>
          </w:tcPr>
          <w:p w:rsidR="0086090D" w:rsidRDefault="0086090D" w:rsidP="00211864">
            <w:pPr>
              <w:widowControl w:val="0"/>
              <w:autoSpaceDE w:val="0"/>
              <w:autoSpaceDN w:val="0"/>
              <w:adjustRightInd w:val="0"/>
            </w:pPr>
          </w:p>
        </w:tc>
      </w:tr>
    </w:tbl>
    <w:p w:rsidR="0086090D" w:rsidRDefault="0086090D" w:rsidP="00211864">
      <w:pPr>
        <w:widowControl w:val="0"/>
        <w:autoSpaceDE w:val="0"/>
        <w:autoSpaceDN w:val="0"/>
        <w:adjustRightInd w:val="0"/>
        <w:ind w:left="2160" w:hanging="720"/>
      </w:pPr>
    </w:p>
    <w:p w:rsidR="00211864" w:rsidRDefault="00211864" w:rsidP="00211864">
      <w:pPr>
        <w:widowControl w:val="0"/>
        <w:autoSpaceDE w:val="0"/>
        <w:autoSpaceDN w:val="0"/>
        <w:adjustRightInd w:val="0"/>
        <w:ind w:left="2160" w:hanging="720"/>
      </w:pPr>
      <w:r>
        <w:t>2)</w:t>
      </w:r>
      <w:r>
        <w:tab/>
        <w:t xml:space="preserve">Ventilation Systems </w:t>
      </w:r>
    </w:p>
    <w:p w:rsidR="00093E1D" w:rsidRDefault="00093E1D" w:rsidP="00211864">
      <w:pPr>
        <w:widowControl w:val="0"/>
        <w:autoSpaceDE w:val="0"/>
        <w:autoSpaceDN w:val="0"/>
        <w:adjustRightInd w:val="0"/>
        <w:ind w:left="2880" w:hanging="720"/>
      </w:pPr>
    </w:p>
    <w:p w:rsidR="00211864" w:rsidRDefault="00211864" w:rsidP="00211864">
      <w:pPr>
        <w:widowControl w:val="0"/>
        <w:autoSpaceDE w:val="0"/>
        <w:autoSpaceDN w:val="0"/>
        <w:adjustRightInd w:val="0"/>
        <w:ind w:left="2880" w:hanging="720"/>
      </w:pPr>
      <w:r>
        <w:t>A)</w:t>
      </w:r>
      <w:r>
        <w:tab/>
        <w:t>Air handling systems shall conform to NFPA 90A</w:t>
      </w:r>
      <w:r w:rsidR="002B1D0F">
        <w:t>,</w:t>
      </w:r>
      <w:r w:rsidR="009C1FDC">
        <w:t xml:space="preserve"> Standard for Installation of Air Conditioning and Ventilating Systems</w:t>
      </w:r>
      <w:r>
        <w:t xml:space="preserve">. </w:t>
      </w:r>
    </w:p>
    <w:p w:rsidR="00093E1D" w:rsidRDefault="00093E1D" w:rsidP="00211864">
      <w:pPr>
        <w:widowControl w:val="0"/>
        <w:autoSpaceDE w:val="0"/>
        <w:autoSpaceDN w:val="0"/>
        <w:adjustRightInd w:val="0"/>
        <w:ind w:left="2880" w:hanging="720"/>
      </w:pPr>
    </w:p>
    <w:p w:rsidR="00211864" w:rsidRDefault="00211864" w:rsidP="00211864">
      <w:pPr>
        <w:widowControl w:val="0"/>
        <w:autoSpaceDE w:val="0"/>
        <w:autoSpaceDN w:val="0"/>
        <w:adjustRightInd w:val="0"/>
        <w:ind w:left="2880" w:hanging="720"/>
      </w:pPr>
      <w:r>
        <w:t>B)</w:t>
      </w:r>
      <w:r>
        <w:tab/>
        <w:t xml:space="preserve">Outdoor intakes </w:t>
      </w:r>
      <w:r w:rsidR="009C1FDC">
        <w:t>shall</w:t>
      </w:r>
      <w:r>
        <w:t xml:space="preserve"> be located as far as practical but not less than 15 feet from exhaust outlets of ventilation systems, combustion equipment stacks, medical-surgical vacuum systems, plumbing vent stacks</w:t>
      </w:r>
      <w:r w:rsidR="002B1D0F">
        <w:t>,</w:t>
      </w:r>
      <w:r>
        <w:t xml:space="preserve"> or from areas </w:t>
      </w:r>
      <w:r w:rsidR="009C1FDC">
        <w:t>that</w:t>
      </w:r>
      <w:r>
        <w:t xml:space="preserve"> may collect vehicular exhaust and other noxious fumes. </w:t>
      </w:r>
    </w:p>
    <w:p w:rsidR="00093E1D" w:rsidRDefault="00093E1D" w:rsidP="00211864">
      <w:pPr>
        <w:widowControl w:val="0"/>
        <w:autoSpaceDE w:val="0"/>
        <w:autoSpaceDN w:val="0"/>
        <w:adjustRightInd w:val="0"/>
        <w:ind w:left="2880" w:hanging="720"/>
      </w:pPr>
    </w:p>
    <w:p w:rsidR="00211864" w:rsidRDefault="00211864" w:rsidP="00211864">
      <w:pPr>
        <w:widowControl w:val="0"/>
        <w:autoSpaceDE w:val="0"/>
        <w:autoSpaceDN w:val="0"/>
        <w:adjustRightInd w:val="0"/>
        <w:ind w:left="2880" w:hanging="720"/>
      </w:pPr>
      <w:r>
        <w:t>C)</w:t>
      </w:r>
      <w:r>
        <w:tab/>
        <w:t xml:space="preserve">All ventilation air supplied to operating rooms, delivery rooms and nurseries </w:t>
      </w:r>
      <w:r w:rsidR="009C1FDC">
        <w:t>shall</w:t>
      </w:r>
      <w:r>
        <w:t xml:space="preserve"> be delivered at or near the ceiling of the area served, and all exhaust air from the area </w:t>
      </w:r>
      <w:r w:rsidR="009C1FDC">
        <w:t>shall</w:t>
      </w:r>
      <w:r>
        <w:t xml:space="preserve"> be removed near the floor </w:t>
      </w:r>
      <w:r>
        <w:lastRenderedPageBreak/>
        <w:t xml:space="preserve">level.  At least two exhaust outlets </w:t>
      </w:r>
      <w:r w:rsidR="009C1FDC">
        <w:t>shall</w:t>
      </w:r>
      <w:r>
        <w:t xml:space="preserve"> be used in all operating and delivery rooms. </w:t>
      </w:r>
    </w:p>
    <w:p w:rsidR="00093E1D" w:rsidRDefault="00093E1D" w:rsidP="00211864">
      <w:pPr>
        <w:widowControl w:val="0"/>
        <w:autoSpaceDE w:val="0"/>
        <w:autoSpaceDN w:val="0"/>
        <w:adjustRightInd w:val="0"/>
        <w:ind w:left="2880" w:hanging="720"/>
      </w:pPr>
    </w:p>
    <w:p w:rsidR="00211864" w:rsidRDefault="00211864" w:rsidP="00211864">
      <w:pPr>
        <w:widowControl w:val="0"/>
        <w:autoSpaceDE w:val="0"/>
        <w:autoSpaceDN w:val="0"/>
        <w:adjustRightInd w:val="0"/>
        <w:ind w:left="2880" w:hanging="720"/>
      </w:pPr>
      <w:r>
        <w:t>D)</w:t>
      </w:r>
      <w:r>
        <w:tab/>
        <w:t xml:space="preserve">All central ventilation or air conditioning systems shall be equipped with filters having efficiencies no less than those specified in the following: </w:t>
      </w:r>
    </w:p>
    <w:p w:rsidR="00211864" w:rsidRDefault="00211864" w:rsidP="00211864">
      <w:pPr>
        <w:widowControl w:val="0"/>
        <w:autoSpaceDE w:val="0"/>
        <w:autoSpaceDN w:val="0"/>
        <w:adjustRightInd w:val="0"/>
        <w:ind w:left="2880" w:hanging="720"/>
      </w:pPr>
    </w:p>
    <w:tbl>
      <w:tblPr>
        <w:tblW w:w="0" w:type="auto"/>
        <w:tblInd w:w="3015" w:type="dxa"/>
        <w:tblLook w:val="0000" w:firstRow="0" w:lastRow="0" w:firstColumn="0" w:lastColumn="0" w:noHBand="0" w:noVBand="0"/>
      </w:tblPr>
      <w:tblGrid>
        <w:gridCol w:w="4039"/>
        <w:gridCol w:w="236"/>
        <w:gridCol w:w="2280"/>
        <w:gridCol w:w="6"/>
      </w:tblGrid>
      <w:tr w:rsidR="00BC0C6F">
        <w:tblPrEx>
          <w:tblCellMar>
            <w:top w:w="0" w:type="dxa"/>
            <w:bottom w:w="0" w:type="dxa"/>
          </w:tblCellMar>
        </w:tblPrEx>
        <w:tc>
          <w:tcPr>
            <w:tcW w:w="6561" w:type="dxa"/>
            <w:gridSpan w:val="4"/>
          </w:tcPr>
          <w:p w:rsidR="00BC0C6F" w:rsidRDefault="00BC0C6F" w:rsidP="00BC0C6F">
            <w:pPr>
              <w:widowControl w:val="0"/>
              <w:tabs>
                <w:tab w:val="left" w:pos="0"/>
                <w:tab w:val="left" w:pos="7758"/>
              </w:tabs>
              <w:autoSpaceDE w:val="0"/>
              <w:autoSpaceDN w:val="0"/>
              <w:adjustRightInd w:val="0"/>
              <w:ind w:left="348" w:right="468"/>
              <w:jc w:val="center"/>
            </w:pPr>
            <w:r>
              <w:t>FILTER EFFICIENCIES FOR CENTRAL VENTILATION AND AIR CONDITIONING SYSTEMS IN GENERAL HOSPITALS</w:t>
            </w:r>
          </w:p>
        </w:tc>
      </w:tr>
      <w:tr w:rsidR="00BC0C6F">
        <w:tblPrEx>
          <w:tblCellMar>
            <w:top w:w="0" w:type="dxa"/>
            <w:bottom w:w="0" w:type="dxa"/>
          </w:tblCellMar>
        </w:tblPrEx>
        <w:trPr>
          <w:gridAfter w:val="1"/>
          <w:wAfter w:w="6" w:type="dxa"/>
          <w:trHeight w:val="765"/>
        </w:trPr>
        <w:tc>
          <w:tcPr>
            <w:tcW w:w="4039" w:type="dxa"/>
            <w:tcBorders>
              <w:bottom w:val="single" w:sz="4" w:space="0" w:color="auto"/>
            </w:tcBorders>
            <w:vAlign w:val="bottom"/>
          </w:tcPr>
          <w:p w:rsidR="00BC0C6F" w:rsidRDefault="00BC0C6F" w:rsidP="00BC0C6F">
            <w:pPr>
              <w:widowControl w:val="0"/>
              <w:autoSpaceDE w:val="0"/>
              <w:autoSpaceDN w:val="0"/>
              <w:adjustRightInd w:val="0"/>
              <w:jc w:val="center"/>
            </w:pPr>
            <w:r>
              <w:t>Area Designation</w:t>
            </w:r>
          </w:p>
        </w:tc>
        <w:tc>
          <w:tcPr>
            <w:tcW w:w="236" w:type="dxa"/>
          </w:tcPr>
          <w:p w:rsidR="00BC0C6F" w:rsidRDefault="00BC0C6F" w:rsidP="00BC0C6F">
            <w:pPr>
              <w:widowControl w:val="0"/>
              <w:autoSpaceDE w:val="0"/>
              <w:autoSpaceDN w:val="0"/>
              <w:adjustRightInd w:val="0"/>
              <w:jc w:val="center"/>
            </w:pPr>
          </w:p>
        </w:tc>
        <w:tc>
          <w:tcPr>
            <w:tcW w:w="2280" w:type="dxa"/>
            <w:tcBorders>
              <w:bottom w:val="single" w:sz="4" w:space="0" w:color="auto"/>
            </w:tcBorders>
            <w:vAlign w:val="bottom"/>
          </w:tcPr>
          <w:p w:rsidR="00BC0C6F" w:rsidRDefault="00BC0C6F" w:rsidP="00BC0C6F">
            <w:pPr>
              <w:widowControl w:val="0"/>
              <w:autoSpaceDE w:val="0"/>
              <w:autoSpaceDN w:val="0"/>
              <w:adjustRightInd w:val="0"/>
              <w:jc w:val="center"/>
            </w:pPr>
            <w:r>
              <w:t>Filter Efficiencies (percent)</w:t>
            </w:r>
          </w:p>
        </w:tc>
      </w:tr>
      <w:tr w:rsidR="00BC0C6F">
        <w:tblPrEx>
          <w:tblCellMar>
            <w:top w:w="0" w:type="dxa"/>
            <w:bottom w:w="0" w:type="dxa"/>
          </w:tblCellMar>
        </w:tblPrEx>
        <w:trPr>
          <w:gridAfter w:val="1"/>
          <w:wAfter w:w="6" w:type="dxa"/>
          <w:trHeight w:val="467"/>
        </w:trPr>
        <w:tc>
          <w:tcPr>
            <w:tcW w:w="4039" w:type="dxa"/>
            <w:tcBorders>
              <w:top w:val="single" w:sz="4" w:space="0" w:color="auto"/>
            </w:tcBorders>
            <w:vAlign w:val="bottom"/>
          </w:tcPr>
          <w:p w:rsidR="00BC0C6F" w:rsidRDefault="00BC0C6F" w:rsidP="00211864">
            <w:pPr>
              <w:widowControl w:val="0"/>
              <w:autoSpaceDE w:val="0"/>
              <w:autoSpaceDN w:val="0"/>
              <w:adjustRightInd w:val="0"/>
            </w:pPr>
            <w:r>
              <w:t>Sensitive Areas*</w:t>
            </w:r>
          </w:p>
        </w:tc>
        <w:tc>
          <w:tcPr>
            <w:tcW w:w="236" w:type="dxa"/>
            <w:vAlign w:val="bottom"/>
          </w:tcPr>
          <w:p w:rsidR="00BC0C6F" w:rsidRDefault="00BC0C6F" w:rsidP="00BC0C6F">
            <w:pPr>
              <w:widowControl w:val="0"/>
              <w:autoSpaceDE w:val="0"/>
              <w:autoSpaceDN w:val="0"/>
              <w:adjustRightInd w:val="0"/>
              <w:jc w:val="center"/>
            </w:pPr>
          </w:p>
        </w:tc>
        <w:tc>
          <w:tcPr>
            <w:tcW w:w="2280" w:type="dxa"/>
            <w:tcBorders>
              <w:top w:val="single" w:sz="4" w:space="0" w:color="auto"/>
            </w:tcBorders>
            <w:vAlign w:val="bottom"/>
          </w:tcPr>
          <w:p w:rsidR="00BC0C6F" w:rsidRDefault="00BC0C6F" w:rsidP="00BC0C6F">
            <w:pPr>
              <w:widowControl w:val="0"/>
              <w:autoSpaceDE w:val="0"/>
              <w:autoSpaceDN w:val="0"/>
              <w:adjustRightInd w:val="0"/>
              <w:jc w:val="center"/>
            </w:pPr>
            <w:r>
              <w:t>50</w:t>
            </w:r>
          </w:p>
        </w:tc>
      </w:tr>
      <w:tr w:rsidR="00BC0C6F">
        <w:tblPrEx>
          <w:tblCellMar>
            <w:top w:w="0" w:type="dxa"/>
            <w:bottom w:w="0" w:type="dxa"/>
          </w:tblCellMar>
        </w:tblPrEx>
        <w:trPr>
          <w:gridAfter w:val="1"/>
          <w:wAfter w:w="6" w:type="dxa"/>
          <w:trHeight w:val="675"/>
        </w:trPr>
        <w:tc>
          <w:tcPr>
            <w:tcW w:w="4039" w:type="dxa"/>
            <w:vAlign w:val="bottom"/>
          </w:tcPr>
          <w:p w:rsidR="00BC0C6F" w:rsidRDefault="00BC0C6F" w:rsidP="00BC0C6F">
            <w:pPr>
              <w:widowControl w:val="0"/>
              <w:autoSpaceDE w:val="0"/>
              <w:autoSpaceDN w:val="0"/>
              <w:adjustRightInd w:val="0"/>
              <w:ind w:left="234" w:hanging="234"/>
            </w:pPr>
            <w:r>
              <w:t>Patient Care, Treatment, Diagnostic and Related Areas</w:t>
            </w:r>
          </w:p>
        </w:tc>
        <w:tc>
          <w:tcPr>
            <w:tcW w:w="236" w:type="dxa"/>
            <w:vAlign w:val="bottom"/>
          </w:tcPr>
          <w:p w:rsidR="00BC0C6F" w:rsidRDefault="00BC0C6F" w:rsidP="00BC0C6F">
            <w:pPr>
              <w:widowControl w:val="0"/>
              <w:autoSpaceDE w:val="0"/>
              <w:autoSpaceDN w:val="0"/>
              <w:adjustRightInd w:val="0"/>
              <w:jc w:val="center"/>
            </w:pPr>
          </w:p>
        </w:tc>
        <w:tc>
          <w:tcPr>
            <w:tcW w:w="2280" w:type="dxa"/>
            <w:vAlign w:val="bottom"/>
          </w:tcPr>
          <w:p w:rsidR="00BC0C6F" w:rsidRDefault="00BC0C6F" w:rsidP="00BC0C6F">
            <w:pPr>
              <w:widowControl w:val="0"/>
              <w:autoSpaceDE w:val="0"/>
              <w:autoSpaceDN w:val="0"/>
              <w:adjustRightInd w:val="0"/>
              <w:jc w:val="center"/>
            </w:pPr>
            <w:r>
              <w:t>50</w:t>
            </w:r>
          </w:p>
        </w:tc>
      </w:tr>
      <w:tr w:rsidR="00BC0C6F">
        <w:tblPrEx>
          <w:tblCellMar>
            <w:top w:w="0" w:type="dxa"/>
            <w:bottom w:w="0" w:type="dxa"/>
          </w:tblCellMar>
        </w:tblPrEx>
        <w:trPr>
          <w:gridAfter w:val="1"/>
          <w:wAfter w:w="6" w:type="dxa"/>
          <w:trHeight w:val="405"/>
        </w:trPr>
        <w:tc>
          <w:tcPr>
            <w:tcW w:w="4039" w:type="dxa"/>
            <w:vAlign w:val="bottom"/>
          </w:tcPr>
          <w:p w:rsidR="00BC0C6F" w:rsidRDefault="00BC0C6F" w:rsidP="00211864">
            <w:pPr>
              <w:widowControl w:val="0"/>
              <w:autoSpaceDE w:val="0"/>
              <w:autoSpaceDN w:val="0"/>
              <w:adjustRightInd w:val="0"/>
            </w:pPr>
            <w:r>
              <w:t>Food Preparation Areas and Laundries</w:t>
            </w:r>
          </w:p>
        </w:tc>
        <w:tc>
          <w:tcPr>
            <w:tcW w:w="236" w:type="dxa"/>
            <w:vAlign w:val="bottom"/>
          </w:tcPr>
          <w:p w:rsidR="00BC0C6F" w:rsidRDefault="00BC0C6F" w:rsidP="00BC0C6F">
            <w:pPr>
              <w:widowControl w:val="0"/>
              <w:autoSpaceDE w:val="0"/>
              <w:autoSpaceDN w:val="0"/>
              <w:adjustRightInd w:val="0"/>
              <w:jc w:val="center"/>
            </w:pPr>
          </w:p>
        </w:tc>
        <w:tc>
          <w:tcPr>
            <w:tcW w:w="2280" w:type="dxa"/>
            <w:vAlign w:val="bottom"/>
          </w:tcPr>
          <w:p w:rsidR="00BC0C6F" w:rsidRDefault="00BC0C6F" w:rsidP="00BC0C6F">
            <w:pPr>
              <w:widowControl w:val="0"/>
              <w:autoSpaceDE w:val="0"/>
              <w:autoSpaceDN w:val="0"/>
              <w:adjustRightInd w:val="0"/>
              <w:jc w:val="center"/>
            </w:pPr>
            <w:r>
              <w:t>50</w:t>
            </w:r>
          </w:p>
        </w:tc>
      </w:tr>
      <w:tr w:rsidR="00BC0C6F">
        <w:tblPrEx>
          <w:tblCellMar>
            <w:top w:w="0" w:type="dxa"/>
            <w:bottom w:w="0" w:type="dxa"/>
          </w:tblCellMar>
        </w:tblPrEx>
        <w:trPr>
          <w:gridAfter w:val="1"/>
          <w:wAfter w:w="6" w:type="dxa"/>
          <w:trHeight w:val="675"/>
        </w:trPr>
        <w:tc>
          <w:tcPr>
            <w:tcW w:w="4039" w:type="dxa"/>
            <w:vAlign w:val="bottom"/>
          </w:tcPr>
          <w:p w:rsidR="00BC0C6F" w:rsidRDefault="00BC0C6F" w:rsidP="00BC0C6F">
            <w:pPr>
              <w:widowControl w:val="0"/>
              <w:autoSpaceDE w:val="0"/>
              <w:autoSpaceDN w:val="0"/>
              <w:adjustRightInd w:val="0"/>
              <w:ind w:left="234" w:hanging="234"/>
            </w:pPr>
            <w:r>
              <w:t>Administrative, Bulk Storage and Soiled Holding Areas</w:t>
            </w:r>
          </w:p>
        </w:tc>
        <w:tc>
          <w:tcPr>
            <w:tcW w:w="236" w:type="dxa"/>
            <w:vAlign w:val="bottom"/>
          </w:tcPr>
          <w:p w:rsidR="00BC0C6F" w:rsidRDefault="00BC0C6F" w:rsidP="00BC0C6F">
            <w:pPr>
              <w:widowControl w:val="0"/>
              <w:autoSpaceDE w:val="0"/>
              <w:autoSpaceDN w:val="0"/>
              <w:adjustRightInd w:val="0"/>
              <w:jc w:val="center"/>
            </w:pPr>
          </w:p>
        </w:tc>
        <w:tc>
          <w:tcPr>
            <w:tcW w:w="2280" w:type="dxa"/>
            <w:vAlign w:val="bottom"/>
          </w:tcPr>
          <w:p w:rsidR="00BC0C6F" w:rsidRDefault="00BC0C6F" w:rsidP="00BC0C6F">
            <w:pPr>
              <w:widowControl w:val="0"/>
              <w:autoSpaceDE w:val="0"/>
              <w:autoSpaceDN w:val="0"/>
              <w:adjustRightInd w:val="0"/>
              <w:jc w:val="center"/>
            </w:pPr>
            <w:r>
              <w:t>20</w:t>
            </w:r>
          </w:p>
        </w:tc>
      </w:tr>
      <w:tr w:rsidR="00BC0C6F">
        <w:tblPrEx>
          <w:tblCellMar>
            <w:top w:w="0" w:type="dxa"/>
            <w:bottom w:w="0" w:type="dxa"/>
          </w:tblCellMar>
        </w:tblPrEx>
        <w:trPr>
          <w:gridAfter w:val="1"/>
          <w:wAfter w:w="6" w:type="dxa"/>
          <w:trHeight w:val="792"/>
        </w:trPr>
        <w:tc>
          <w:tcPr>
            <w:tcW w:w="6555" w:type="dxa"/>
            <w:gridSpan w:val="3"/>
            <w:vAlign w:val="bottom"/>
          </w:tcPr>
          <w:p w:rsidR="00BC0C6F" w:rsidRDefault="00BC0C6F" w:rsidP="00BC0C6F">
            <w:pPr>
              <w:widowControl w:val="0"/>
              <w:autoSpaceDE w:val="0"/>
              <w:autoSpaceDN w:val="0"/>
              <w:adjustRightInd w:val="0"/>
              <w:ind w:left="234" w:hanging="234"/>
            </w:pPr>
            <w:r>
              <w:t>*Includes operating rooms, delivery rooms, nurseries, recovery rooms, and intensive care units.</w:t>
            </w:r>
          </w:p>
        </w:tc>
      </w:tr>
    </w:tbl>
    <w:p w:rsidR="00211864" w:rsidRDefault="00211864" w:rsidP="00211864">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E)</w:t>
      </w:r>
      <w:r>
        <w:tab/>
        <w:t xml:space="preserve">The filter shall be located upstream of the air conditioning equipment.  If a prefilter is installed, it shall be located upstream of the </w:t>
      </w:r>
      <w:r w:rsidR="002B1D0F">
        <w:t xml:space="preserve">air </w:t>
      </w:r>
      <w:r>
        <w:t xml:space="preserve">conditioning equipment.  The main filter may be located before or after the equipment.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F)</w:t>
      </w:r>
      <w:r>
        <w:tab/>
        <w:t xml:space="preserve">Access to filters for changing shall be provided outside of clean areas unless approved otherwise by the Department.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G)</w:t>
      </w:r>
      <w:r>
        <w:tab/>
        <w:t xml:space="preserve">All filter efficiencies shall be average atmospheric dust spot efficiencies tested in accordance with </w:t>
      </w:r>
      <w:r w:rsidR="009C1FDC">
        <w:t xml:space="preserve">the </w:t>
      </w:r>
      <w:r>
        <w:t xml:space="preserve">ASHRAE Handbook of Fundamentals.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H)</w:t>
      </w:r>
      <w:r>
        <w:tab/>
        <w:t xml:space="preserve">Filter frames shall be durable and shall provide an airtight fit with the enclosing duct work.  All joints between filter segments and enclosing duct work shall be gasketed or sealed to provide a positive seal against air leakage.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I)</w:t>
      </w:r>
      <w:r>
        <w:tab/>
        <w:t xml:space="preserve">A manometer shall be installed across each filter bed serving central air systems.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J)</w:t>
      </w:r>
      <w:r>
        <w:tab/>
        <w:t xml:space="preserve">Ducts </w:t>
      </w:r>
      <w:r w:rsidR="009C1FDC">
        <w:t>that</w:t>
      </w:r>
      <w:r>
        <w:t xml:space="preserve"> penetrate construction intended for </w:t>
      </w:r>
      <w:r w:rsidR="009C1FDC">
        <w:t>X-ray</w:t>
      </w:r>
      <w:r>
        <w:t xml:space="preserve"> or other ray protection shall maintain the effectiveness of the protection.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K)</w:t>
      </w:r>
      <w:r>
        <w:tab/>
        <w:t>Fire and smoke dampers shall be constructed, located and installed in accordance with the requirements of NFPA 90A</w:t>
      </w:r>
      <w:r w:rsidR="002B1D0F">
        <w:t>,</w:t>
      </w:r>
      <w:r w:rsidR="009C1FDC">
        <w:t xml:space="preserve"> Standard for</w:t>
      </w:r>
      <w:r>
        <w:t xml:space="preserve"> Installation of Air Conditioning and Ventilating Systems.  Exception:  all systems, regardless of size, </w:t>
      </w:r>
      <w:r w:rsidR="009C1FDC">
        <w:t>that</w:t>
      </w:r>
      <w:r>
        <w:t xml:space="preserve"> serve more than one smoke or fire zone, shall be equipped with smoke detectors to shut down fans automatically as specified in Paragraph 4-3.1 of </w:t>
      </w:r>
      <w:r w:rsidR="009C1FDC">
        <w:t>NFPA</w:t>
      </w:r>
      <w:r w:rsidR="002B1D0F">
        <w:t xml:space="preserve"> 90A</w:t>
      </w:r>
      <w:r>
        <w:t xml:space="preserve">.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L)</w:t>
      </w:r>
      <w:r>
        <w:tab/>
        <w:t xml:space="preserve">Laboratory hoods shall meet the following general requirements: </w:t>
      </w:r>
    </w:p>
    <w:p w:rsidR="00093E1D" w:rsidRDefault="00093E1D" w:rsidP="00A86F56">
      <w:pPr>
        <w:widowControl w:val="0"/>
        <w:autoSpaceDE w:val="0"/>
        <w:autoSpaceDN w:val="0"/>
        <w:adjustRightInd w:val="0"/>
        <w:ind w:left="3600" w:hanging="720"/>
      </w:pPr>
    </w:p>
    <w:p w:rsidR="00211864" w:rsidRDefault="00211864" w:rsidP="00A86F56">
      <w:pPr>
        <w:widowControl w:val="0"/>
        <w:autoSpaceDE w:val="0"/>
        <w:autoSpaceDN w:val="0"/>
        <w:adjustRightInd w:val="0"/>
        <w:ind w:left="3600" w:hanging="720"/>
      </w:pPr>
      <w:r>
        <w:t>i)</w:t>
      </w:r>
      <w:r>
        <w:tab/>
      </w:r>
      <w:r w:rsidR="009C1FDC">
        <w:t>The</w:t>
      </w:r>
      <w:r>
        <w:t xml:space="preserve"> exhaust system shall be separate from the building exhaust system</w:t>
      </w:r>
      <w:r w:rsidR="002B1D0F">
        <w:t>;</w:t>
      </w:r>
      <w:r>
        <w:t xml:space="preserve"> and </w:t>
      </w:r>
    </w:p>
    <w:p w:rsidR="00093E1D" w:rsidRDefault="00093E1D" w:rsidP="00A86F56">
      <w:pPr>
        <w:widowControl w:val="0"/>
        <w:autoSpaceDE w:val="0"/>
        <w:autoSpaceDN w:val="0"/>
        <w:adjustRightInd w:val="0"/>
        <w:ind w:left="3600" w:hanging="720"/>
      </w:pPr>
    </w:p>
    <w:p w:rsidR="00211864" w:rsidRDefault="00211864" w:rsidP="00A86F56">
      <w:pPr>
        <w:widowControl w:val="0"/>
        <w:autoSpaceDE w:val="0"/>
        <w:autoSpaceDN w:val="0"/>
        <w:adjustRightInd w:val="0"/>
        <w:ind w:left="3600" w:hanging="720"/>
      </w:pPr>
      <w:r>
        <w:t>ii)</w:t>
      </w:r>
      <w:r>
        <w:tab/>
      </w:r>
      <w:r w:rsidR="009C1FDC">
        <w:t>The</w:t>
      </w:r>
      <w:r>
        <w:t xml:space="preserve"> exhaust duct system shall be of noncombustible corrosion-resistant material consistent with the usage of the hood.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M)</w:t>
      </w:r>
      <w:r>
        <w:tab/>
        <w:t xml:space="preserve">Laboratory hoods shall meet the following special requirements: </w:t>
      </w:r>
    </w:p>
    <w:p w:rsidR="00093E1D" w:rsidRDefault="00093E1D" w:rsidP="00A86F56">
      <w:pPr>
        <w:widowControl w:val="0"/>
        <w:autoSpaceDE w:val="0"/>
        <w:autoSpaceDN w:val="0"/>
        <w:adjustRightInd w:val="0"/>
        <w:ind w:left="3600" w:hanging="720"/>
      </w:pPr>
    </w:p>
    <w:p w:rsidR="00211864" w:rsidRDefault="00211864" w:rsidP="00A86F56">
      <w:pPr>
        <w:widowControl w:val="0"/>
        <w:autoSpaceDE w:val="0"/>
        <w:autoSpaceDN w:val="0"/>
        <w:adjustRightInd w:val="0"/>
        <w:ind w:left="3600" w:hanging="720"/>
      </w:pPr>
      <w:r>
        <w:t>i)</w:t>
      </w:r>
      <w:r>
        <w:tab/>
        <w:t xml:space="preserve">Each hood for the processing of infectious or radioactive materials shall have an adequate face velocity, shall be connected to an independent exhaust system, shall be provided with filters with 99.97 percent efficiency (based on the </w:t>
      </w:r>
      <w:r w:rsidR="009C1FDC">
        <w:t>DOD</w:t>
      </w:r>
      <w:r>
        <w:t xml:space="preserve">, </w:t>
      </w:r>
      <w:r w:rsidR="002B1D0F">
        <w:t>diocytlphthalate</w:t>
      </w:r>
      <w:r>
        <w:t xml:space="preserve"> test method as described in </w:t>
      </w:r>
      <w:r w:rsidR="009C1FDC">
        <w:t>DOD</w:t>
      </w:r>
      <w:r>
        <w:t xml:space="preserve"> Penetration Test Method MIL STD 282:  Filter Units, Protective Clothing, Gas-Mask Components and Related Products:  Performance Test Methods) in the exhaust system, and shall be designed and equipped to permit the safe removal, disposal and replacement of contaminated filters. </w:t>
      </w:r>
    </w:p>
    <w:p w:rsidR="00093E1D" w:rsidRDefault="00093E1D" w:rsidP="00A86F56">
      <w:pPr>
        <w:widowControl w:val="0"/>
        <w:autoSpaceDE w:val="0"/>
        <w:autoSpaceDN w:val="0"/>
        <w:adjustRightInd w:val="0"/>
        <w:ind w:left="3600" w:hanging="720"/>
      </w:pPr>
    </w:p>
    <w:p w:rsidR="00211864" w:rsidRDefault="00211864" w:rsidP="00A86F56">
      <w:pPr>
        <w:widowControl w:val="0"/>
        <w:autoSpaceDE w:val="0"/>
        <w:autoSpaceDN w:val="0"/>
        <w:adjustRightInd w:val="0"/>
        <w:ind w:left="3600" w:hanging="720"/>
      </w:pPr>
      <w:r>
        <w:t>ii)</w:t>
      </w:r>
      <w:r>
        <w:tab/>
        <w:t>Duct systems in which radioactive and strong oxidizing agents are present shall be constructed of corrosion</w:t>
      </w:r>
      <w:r w:rsidR="002B1D0F">
        <w:noBreakHyphen/>
      </w:r>
      <w:r>
        <w:t xml:space="preserve">resistant material consistent with usage for a minimum distance 10 feet from the hood and shall be equipped with </w:t>
      </w:r>
      <w:r w:rsidR="009C1FDC">
        <w:t>wash-down</w:t>
      </w:r>
      <w:r>
        <w:t xml:space="preserve"> facilities.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N)</w:t>
      </w:r>
      <w:r>
        <w:tab/>
        <w:t xml:space="preserve">The hood and duct system for cooking equipment used in processes producing smoke or grease-laden vapors shall </w:t>
      </w:r>
      <w:r w:rsidR="009C1FDC">
        <w:t>comply</w:t>
      </w:r>
      <w:r>
        <w:t xml:space="preserve"> with NFPA 96</w:t>
      </w:r>
      <w:r w:rsidR="002B1D0F">
        <w:t>,</w:t>
      </w:r>
      <w:r w:rsidR="009C1FDC">
        <w:t xml:space="preserve"> Standard for Ventilation Control and Fire Protection of Commercial Cooking Operations.</w:t>
      </w:r>
      <w:r>
        <w:t xml:space="preserve">  That portion of the fire extinguishment system required for protection of the duct system may be omitted when all cooking equipment is served by listed grease extractors.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O)</w:t>
      </w:r>
      <w:r>
        <w:tab/>
        <w:t xml:space="preserve">Other exhaust hoods in food preparation centers shall have an adequate exhaust rate.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P)</w:t>
      </w:r>
      <w:r>
        <w:tab/>
      </w:r>
      <w:r w:rsidR="00CB1AA7">
        <w:t>Clean-out</w:t>
      </w:r>
      <w:r>
        <w:t xml:space="preserve"> openings shall be provided to allow proper cleaning of the duct system serving kitchen and food preparation areas.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Q)</w:t>
      </w:r>
      <w:r>
        <w:tab/>
        <w:t>The ventilation system for anesthesia storage rooms shall conform to the requirements of NFPA 99</w:t>
      </w:r>
      <w:r w:rsidR="002B1D0F">
        <w:t>,</w:t>
      </w:r>
      <w:r w:rsidR="00CB1AA7">
        <w:t xml:space="preserve"> Standard for Health Care Facilities,</w:t>
      </w:r>
      <w:r>
        <w:t xml:space="preserve"> including the gravity option system.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R)</w:t>
      </w:r>
      <w:r>
        <w:tab/>
        <w:t xml:space="preserve">Boiler rooms shall be provided with sufficient outdoor air to maintain proper combustion rates for equipment.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S)</w:t>
      </w:r>
      <w:r>
        <w:tab/>
        <w:t xml:space="preserve">Rooms containing heat-producing equipment, such as boiler rooms, heater rooms, food preparation centers, laundries, </w:t>
      </w:r>
      <w:r w:rsidR="002B1D0F">
        <w:t xml:space="preserve">and </w:t>
      </w:r>
      <w:r>
        <w:t xml:space="preserve">sterilizer rooms, shall be ventilated. </w:t>
      </w:r>
    </w:p>
    <w:p w:rsidR="00093E1D" w:rsidRDefault="00093E1D" w:rsidP="00A86F56">
      <w:pPr>
        <w:widowControl w:val="0"/>
        <w:autoSpaceDE w:val="0"/>
        <w:autoSpaceDN w:val="0"/>
        <w:adjustRightInd w:val="0"/>
        <w:ind w:left="2880" w:hanging="720"/>
      </w:pPr>
    </w:p>
    <w:p w:rsidR="00211864" w:rsidRDefault="00211864" w:rsidP="00A86F56">
      <w:pPr>
        <w:widowControl w:val="0"/>
        <w:autoSpaceDE w:val="0"/>
        <w:autoSpaceDN w:val="0"/>
        <w:adjustRightInd w:val="0"/>
        <w:ind w:left="2880" w:hanging="720"/>
      </w:pPr>
      <w:r>
        <w:t>T)</w:t>
      </w:r>
      <w:r>
        <w:tab/>
        <w:t xml:space="preserve">For general pressure relationships and ventilation of certain hospital areas, see Table F. </w:t>
      </w:r>
    </w:p>
    <w:p w:rsidR="00211864" w:rsidRDefault="00211864" w:rsidP="00211864">
      <w:pPr>
        <w:widowControl w:val="0"/>
        <w:autoSpaceDE w:val="0"/>
        <w:autoSpaceDN w:val="0"/>
        <w:adjustRightInd w:val="0"/>
        <w:ind w:left="2880" w:hanging="720"/>
        <w:jc w:val="center"/>
      </w:pPr>
    </w:p>
    <w:p w:rsidR="00CB1AA7" w:rsidRPr="00D55B37" w:rsidRDefault="00CB1AA7">
      <w:pPr>
        <w:pStyle w:val="JCARSourceNote"/>
        <w:ind w:left="720"/>
      </w:pPr>
      <w:r w:rsidRPr="00D55B37">
        <w:t xml:space="preserve">(Source:  </w:t>
      </w:r>
      <w:r>
        <w:t>Amended</w:t>
      </w:r>
      <w:r w:rsidRPr="00D55B37">
        <w:t xml:space="preserve"> at </w:t>
      </w:r>
      <w:r>
        <w:t>35 I</w:t>
      </w:r>
      <w:r w:rsidRPr="00D55B37">
        <w:t xml:space="preserve">ll. Reg. </w:t>
      </w:r>
      <w:r w:rsidR="00837B6D">
        <w:t>6386</w:t>
      </w:r>
      <w:r w:rsidRPr="00D55B37">
        <w:t xml:space="preserve">, effective </w:t>
      </w:r>
      <w:r w:rsidR="00837B6D">
        <w:t>March 31, 2011</w:t>
      </w:r>
      <w:r w:rsidRPr="00D55B37">
        <w:t>)</w:t>
      </w:r>
    </w:p>
    <w:sectPr w:rsidR="00CB1AA7" w:rsidRPr="00D55B37" w:rsidSect="00211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864"/>
    <w:rsid w:val="00093E1D"/>
    <w:rsid w:val="00211864"/>
    <w:rsid w:val="00274306"/>
    <w:rsid w:val="002B1D0F"/>
    <w:rsid w:val="00347ACF"/>
    <w:rsid w:val="005C3366"/>
    <w:rsid w:val="005E176A"/>
    <w:rsid w:val="0063033F"/>
    <w:rsid w:val="00837B6D"/>
    <w:rsid w:val="0086090D"/>
    <w:rsid w:val="009825CE"/>
    <w:rsid w:val="009C1FDC"/>
    <w:rsid w:val="00A86F56"/>
    <w:rsid w:val="00BC0C6F"/>
    <w:rsid w:val="00C072C9"/>
    <w:rsid w:val="00CB1AA7"/>
    <w:rsid w:val="00D01CBB"/>
    <w:rsid w:val="00D43D6F"/>
    <w:rsid w:val="00FB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1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