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06" w:rsidRDefault="00CF2006" w:rsidP="00CF2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006" w:rsidRDefault="00CF2006" w:rsidP="00CF20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250.1060  Drug Services on Patient Unit</w:t>
      </w:r>
      <w:r>
        <w:t xml:space="preserve"> </w:t>
      </w:r>
    </w:p>
    <w:p w:rsidR="00CF2006" w:rsidRDefault="00CF2006" w:rsidP="00CF2006">
      <w:pPr>
        <w:widowControl w:val="0"/>
        <w:autoSpaceDE w:val="0"/>
        <w:autoSpaceDN w:val="0"/>
        <w:adjustRightInd w:val="0"/>
      </w:pPr>
    </w:p>
    <w:p w:rsidR="00CF2006" w:rsidRDefault="00CF2006" w:rsidP="00CF2006">
      <w:pPr>
        <w:widowControl w:val="0"/>
        <w:autoSpaceDE w:val="0"/>
        <w:autoSpaceDN w:val="0"/>
        <w:adjustRightInd w:val="0"/>
      </w:pPr>
      <w:r>
        <w:t xml:space="preserve">Refer to Subpart R </w:t>
      </w:r>
      <w:r w:rsidR="00E41F74">
        <w:t xml:space="preserve">– </w:t>
      </w:r>
      <w:r>
        <w:t xml:space="preserve">Pharmacy or Drug and Medicine Service and Subpart C </w:t>
      </w:r>
      <w:r w:rsidR="00E41F74">
        <w:t xml:space="preserve">– </w:t>
      </w:r>
      <w:r>
        <w:t xml:space="preserve">Medical Staff Section 250.330(a). </w:t>
      </w:r>
    </w:p>
    <w:sectPr w:rsidR="00CF2006" w:rsidSect="00CF2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006"/>
    <w:rsid w:val="0017681E"/>
    <w:rsid w:val="005846CA"/>
    <w:rsid w:val="005C3366"/>
    <w:rsid w:val="0092289E"/>
    <w:rsid w:val="00CF2006"/>
    <w:rsid w:val="00E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