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CB" w:rsidRDefault="006B46CB" w:rsidP="006B46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6CB" w:rsidRDefault="006B46CB" w:rsidP="006B46CB">
      <w:pPr>
        <w:widowControl w:val="0"/>
        <w:autoSpaceDE w:val="0"/>
        <w:autoSpaceDN w:val="0"/>
        <w:adjustRightInd w:val="0"/>
      </w:pPr>
      <w:r>
        <w:t xml:space="preserve">AUTHORITY:  Implementing and authorized by the Poison Control System Act [410 ILCS 47]. </w:t>
      </w:r>
    </w:p>
    <w:sectPr w:rsidR="006B46CB" w:rsidSect="006B46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6CB"/>
    <w:rsid w:val="002467C6"/>
    <w:rsid w:val="003A3EB7"/>
    <w:rsid w:val="005C3366"/>
    <w:rsid w:val="006B46CB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Poison Control System Act [410 ILCS 47]</vt:lpstr>
    </vt:vector>
  </TitlesOfParts>
  <Company>General Assembly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Poison Control System Act [410 ILCS 47]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