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61A" w:rsidRDefault="0059761A" w:rsidP="009F45C4">
      <w:pPr>
        <w:widowControl w:val="0"/>
        <w:autoSpaceDE w:val="0"/>
        <w:autoSpaceDN w:val="0"/>
        <w:adjustRightInd w:val="0"/>
      </w:pPr>
      <w:bookmarkStart w:id="0" w:name="_GoBack"/>
      <w:bookmarkEnd w:id="0"/>
    </w:p>
    <w:p w:rsidR="0059761A" w:rsidRDefault="0059761A" w:rsidP="009F45C4">
      <w:pPr>
        <w:widowControl w:val="0"/>
        <w:autoSpaceDE w:val="0"/>
        <w:autoSpaceDN w:val="0"/>
        <w:adjustRightInd w:val="0"/>
        <w:outlineLvl w:val="0"/>
      </w:pPr>
      <w:r>
        <w:rPr>
          <w:b/>
          <w:bCs/>
        </w:rPr>
        <w:t>Section 205.1540  Air Conditioning, Heating and Ventilating Systems</w:t>
      </w:r>
      <w:r>
        <w:t xml:space="preserve"> </w:t>
      </w:r>
    </w:p>
    <w:p w:rsidR="0059761A" w:rsidRDefault="0059761A" w:rsidP="009F45C4">
      <w:pPr>
        <w:widowControl w:val="0"/>
        <w:autoSpaceDE w:val="0"/>
        <w:autoSpaceDN w:val="0"/>
        <w:adjustRightInd w:val="0"/>
      </w:pPr>
    </w:p>
    <w:p w:rsidR="0059761A" w:rsidRDefault="0059761A" w:rsidP="009F45C4">
      <w:pPr>
        <w:widowControl w:val="0"/>
        <w:autoSpaceDE w:val="0"/>
        <w:autoSpaceDN w:val="0"/>
        <w:adjustRightInd w:val="0"/>
        <w:ind w:left="1440" w:hanging="720"/>
      </w:pPr>
      <w:r>
        <w:t>a)</w:t>
      </w:r>
      <w:r>
        <w:tab/>
        <w:t xml:space="preserve">The systems shall be designed to provide the comfort temperatures and humidities as recommended by </w:t>
      </w:r>
      <w:r w:rsidR="009F2464" w:rsidRPr="00F16BEA">
        <w:t>American Society of Heating, Refrigerating, and Air Conditioning Engineers (</w:t>
      </w:r>
      <w:r>
        <w:t>ASHRAE</w:t>
      </w:r>
      <w:r w:rsidR="009F2464" w:rsidRPr="00F16BEA">
        <w:t>)</w:t>
      </w:r>
      <w:r>
        <w:t xml:space="preserve"> Standards</w:t>
      </w:r>
      <w:r w:rsidR="00FD1F2F">
        <w:t xml:space="preserve"> (see Section 205.115(a)(1)(A))</w:t>
      </w:r>
      <w:r>
        <w:t xml:space="preserve">.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b)</w:t>
      </w:r>
      <w:r>
        <w:tab/>
        <w:t xml:space="preserve">Air handling systems shall conform </w:t>
      </w:r>
      <w:r w:rsidRPr="00F16BEA">
        <w:t xml:space="preserve">to </w:t>
      </w:r>
      <w:r w:rsidR="00A27FE7">
        <w:t>NFPA</w:t>
      </w:r>
      <w:r w:rsidR="00FD1F2F">
        <w:t xml:space="preserve"> </w:t>
      </w:r>
      <w:r w:rsidR="009F2464" w:rsidRPr="00F16BEA">
        <w:t>90A</w:t>
      </w:r>
      <w:r>
        <w:t xml:space="preserve">.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c)</w:t>
      </w:r>
      <w:r>
        <w:tab/>
      </w:r>
      <w:r w:rsidR="00FD1F2F">
        <w:t>Heating</w:t>
      </w:r>
      <w:r w:rsidR="00837053">
        <w:t>,</w:t>
      </w:r>
      <w:r>
        <w:t xml:space="preserve"> air conditioning, and ventilating systems </w:t>
      </w:r>
      <w:r w:rsidR="00FD1F2F">
        <w:t>for spaces not exceeding 25,000 cubic fee</w:t>
      </w:r>
      <w:r w:rsidR="00A27FE7">
        <w:t>t</w:t>
      </w:r>
      <w:r w:rsidR="00FD1F2F">
        <w:t xml:space="preserve"> in volume </w:t>
      </w:r>
      <w:r>
        <w:t xml:space="preserve">shall conform to </w:t>
      </w:r>
      <w:r w:rsidR="00A27FE7">
        <w:t>NFPA</w:t>
      </w:r>
      <w:r w:rsidR="00FD1F2F">
        <w:t xml:space="preserve"> </w:t>
      </w:r>
      <w:r w:rsidR="009F2464" w:rsidRPr="00F16BEA">
        <w:t>90B</w:t>
      </w:r>
      <w:r>
        <w:t xml:space="preserve">, except </w:t>
      </w:r>
      <w:r w:rsidR="009F2464" w:rsidRPr="00F16BEA">
        <w:t>that</w:t>
      </w:r>
      <w:r w:rsidR="009F2464">
        <w:t xml:space="preserve"> </w:t>
      </w:r>
      <w:r>
        <w:t xml:space="preserve">return ducts shall be constructed of materials equal to that specified for supply ducts, </w:t>
      </w:r>
      <w:r w:rsidR="009F2464" w:rsidRPr="00F16BEA">
        <w:t>Chapter</w:t>
      </w:r>
      <w:r w:rsidR="00F16BEA">
        <w:t xml:space="preserve"> </w:t>
      </w:r>
      <w:r>
        <w:t xml:space="preserve">2, paragraph 1.1., Duct Materials.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d)</w:t>
      </w:r>
      <w:r>
        <w:tab/>
        <w:t>Outdoor air intakes shall be located as far as practical</w:t>
      </w:r>
      <w:r w:rsidRPr="00F16BEA">
        <w:t>,</w:t>
      </w:r>
      <w:r>
        <w:t xml:space="preserve"> but not less than 15 feet</w:t>
      </w:r>
      <w:r w:rsidRPr="00F16BEA">
        <w:t>,</w:t>
      </w:r>
      <w:r>
        <w:t xml:space="preserve"> from exhaust outlets of ventilation systems, combustion equipment stacks, medical-surgical vacuum systems, </w:t>
      </w:r>
      <w:r w:rsidR="00FD1F2F">
        <w:t xml:space="preserve">and </w:t>
      </w:r>
      <w:r>
        <w:t>plumbing vent stacks</w:t>
      </w:r>
      <w:r w:rsidR="00837053">
        <w:t>,</w:t>
      </w:r>
      <w:r>
        <w:t xml:space="preserve"> or from areas </w:t>
      </w:r>
      <w:r w:rsidR="009F2464" w:rsidRPr="00F16BEA">
        <w:t>that</w:t>
      </w:r>
      <w:r w:rsidR="00F16BEA">
        <w:t xml:space="preserve"> </w:t>
      </w:r>
      <w:r>
        <w:t xml:space="preserve">may collect vehicular exhaust and other noxious fumes.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e)</w:t>
      </w:r>
      <w:r>
        <w:tab/>
        <w:t>All ventilation air outlets a</w:t>
      </w:r>
      <w:r w:rsidR="00A27FE7">
        <w:t>nd inlets shall conform to NFPA</w:t>
      </w:r>
      <w:r w:rsidR="00FD1F2F">
        <w:t xml:space="preserve"> </w:t>
      </w:r>
      <w:r>
        <w:t>90A</w:t>
      </w:r>
      <w:r w:rsidR="003C71B3">
        <w:t>,</w:t>
      </w:r>
      <w:r w:rsidR="003C71B3" w:rsidDel="003C71B3">
        <w:t xml:space="preserve"> </w:t>
      </w:r>
      <w:r>
        <w:t>Chapter 2, paragraph 3.2.</w:t>
      </w:r>
      <w:r w:rsidR="006E2D58">
        <w:t>,</w:t>
      </w:r>
      <w:r w:rsidR="00F16BEA">
        <w:t xml:space="preserve"> </w:t>
      </w:r>
      <w:r>
        <w:t xml:space="preserve">Location of Outlets and Inlets.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f)</w:t>
      </w:r>
      <w:r>
        <w:tab/>
        <w:t xml:space="preserve">The ventilation systems shall be designed and balanced to provide the ventilation and pressure relationships as shown in Table A.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g)</w:t>
      </w:r>
      <w:r>
        <w:tab/>
        <w:t xml:space="preserve">The ventilation air supplied to the procedure rooms shall be delivered at or near the ceiling of the area served, and all exhaust or return air from the area shall be removed near the floor level.  At least two exhaust outlets shall be used in each procedure room.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h)</w:t>
      </w:r>
      <w:r>
        <w:tab/>
        <w:t xml:space="preserve">All central ventilation or air conditioning systems shall be equipped with filters having efficiencies not less than those specified in the following table: </w:t>
      </w:r>
    </w:p>
    <w:p w:rsidR="008359AC" w:rsidRDefault="008359AC" w:rsidP="009F45C4">
      <w:pPr>
        <w:widowControl w:val="0"/>
        <w:autoSpaceDE w:val="0"/>
        <w:autoSpaceDN w:val="0"/>
        <w:adjustRightInd w:val="0"/>
      </w:pPr>
    </w:p>
    <w:p w:rsidR="009D4E95" w:rsidRDefault="008359AC" w:rsidP="003C71B3">
      <w:pPr>
        <w:widowControl w:val="0"/>
        <w:autoSpaceDE w:val="0"/>
        <w:autoSpaceDN w:val="0"/>
        <w:adjustRightInd w:val="0"/>
        <w:ind w:firstLine="720"/>
        <w:jc w:val="center"/>
        <w:outlineLvl w:val="0"/>
      </w:pPr>
      <w:r>
        <w:t>TABLE A</w:t>
      </w:r>
    </w:p>
    <w:p w:rsidR="00A63626" w:rsidRDefault="00A63626" w:rsidP="009F45C4">
      <w:pPr>
        <w:widowControl w:val="0"/>
        <w:autoSpaceDE w:val="0"/>
        <w:autoSpaceDN w:val="0"/>
        <w:adjustRightInd w:val="0"/>
        <w:jc w:val="center"/>
        <w:outlineLvl w:val="0"/>
      </w:pPr>
    </w:p>
    <w:tbl>
      <w:tblPr>
        <w:tblW w:w="0" w:type="auto"/>
        <w:tblInd w:w="1593" w:type="dxa"/>
        <w:tblLook w:val="01E0" w:firstRow="1" w:lastRow="1" w:firstColumn="1" w:lastColumn="1" w:noHBand="0" w:noVBand="0"/>
      </w:tblPr>
      <w:tblGrid>
        <w:gridCol w:w="2745"/>
        <w:gridCol w:w="2043"/>
        <w:gridCol w:w="1422"/>
        <w:gridCol w:w="1395"/>
      </w:tblGrid>
      <w:tr w:rsidR="009D4E95" w:rsidRPr="00CE6A8E">
        <w:trPr>
          <w:trHeight w:val="855"/>
        </w:trPr>
        <w:tc>
          <w:tcPr>
            <w:tcW w:w="7605" w:type="dxa"/>
            <w:gridSpan w:val="4"/>
          </w:tcPr>
          <w:p w:rsidR="009D4E95" w:rsidRPr="00CE6A8E" w:rsidRDefault="009D4E95" w:rsidP="009F45C4">
            <w:pPr>
              <w:widowControl w:val="0"/>
              <w:autoSpaceDE w:val="0"/>
              <w:autoSpaceDN w:val="0"/>
              <w:adjustRightInd w:val="0"/>
              <w:jc w:val="center"/>
            </w:pPr>
            <w:r w:rsidRPr="00CE6A8E">
              <w:t>FILTER EFFICIENCIES FOR CENTRAL VENTILATION</w:t>
            </w:r>
            <w:r>
              <w:t xml:space="preserve"> </w:t>
            </w:r>
            <w:r w:rsidRPr="00CE6A8E">
              <w:t>AND AIR CONDITIONING SYSTEMS IN</w:t>
            </w:r>
            <w:r>
              <w:t xml:space="preserve"> </w:t>
            </w:r>
            <w:r w:rsidRPr="00CE6A8E">
              <w:t>AMBULATORY SURGICAL TREATMENT FACILITIES</w:t>
            </w:r>
          </w:p>
        </w:tc>
      </w:tr>
      <w:tr w:rsidR="009D4E95" w:rsidRPr="00CE6A8E">
        <w:tc>
          <w:tcPr>
            <w:tcW w:w="7605" w:type="dxa"/>
            <w:gridSpan w:val="4"/>
          </w:tcPr>
          <w:p w:rsidR="009D4E95" w:rsidRPr="00CE6A8E" w:rsidRDefault="009D4E95" w:rsidP="009F45C4">
            <w:pPr>
              <w:widowControl w:val="0"/>
              <w:autoSpaceDE w:val="0"/>
              <w:autoSpaceDN w:val="0"/>
              <w:adjustRightInd w:val="0"/>
            </w:pPr>
          </w:p>
        </w:tc>
      </w:tr>
      <w:tr w:rsidR="0030445F" w:rsidRPr="00CE6A8E">
        <w:tc>
          <w:tcPr>
            <w:tcW w:w="7605" w:type="dxa"/>
            <w:gridSpan w:val="4"/>
          </w:tcPr>
          <w:p w:rsidR="0030445F" w:rsidRPr="00CE6A8E" w:rsidRDefault="0030445F" w:rsidP="009F45C4">
            <w:pPr>
              <w:widowControl w:val="0"/>
              <w:autoSpaceDE w:val="0"/>
              <w:autoSpaceDN w:val="0"/>
              <w:adjustRightInd w:val="0"/>
            </w:pPr>
          </w:p>
        </w:tc>
      </w:tr>
      <w:tr w:rsidR="009D4E95" w:rsidRPr="00CE6A8E" w:rsidTr="00D817AC">
        <w:trPr>
          <w:trHeight w:val="285"/>
        </w:trPr>
        <w:tc>
          <w:tcPr>
            <w:tcW w:w="2745" w:type="dxa"/>
          </w:tcPr>
          <w:p w:rsidR="009D4E95" w:rsidRPr="00CE6A8E" w:rsidRDefault="009D4E95" w:rsidP="009F45C4">
            <w:pPr>
              <w:widowControl w:val="0"/>
              <w:autoSpaceDE w:val="0"/>
              <w:autoSpaceDN w:val="0"/>
              <w:adjustRightInd w:val="0"/>
            </w:pPr>
          </w:p>
        </w:tc>
        <w:tc>
          <w:tcPr>
            <w:tcW w:w="2043" w:type="dxa"/>
          </w:tcPr>
          <w:p w:rsidR="009D4E95" w:rsidRPr="00CE6A8E" w:rsidRDefault="009D4E95" w:rsidP="009F45C4">
            <w:pPr>
              <w:widowControl w:val="0"/>
              <w:autoSpaceDE w:val="0"/>
              <w:autoSpaceDN w:val="0"/>
              <w:adjustRightInd w:val="0"/>
            </w:pPr>
          </w:p>
        </w:tc>
        <w:tc>
          <w:tcPr>
            <w:tcW w:w="2817" w:type="dxa"/>
            <w:gridSpan w:val="2"/>
            <w:tcBorders>
              <w:bottom w:val="single" w:sz="4" w:space="0" w:color="auto"/>
            </w:tcBorders>
          </w:tcPr>
          <w:p w:rsidR="009D4E95" w:rsidRPr="00CE6A8E" w:rsidRDefault="00FD1F2F" w:rsidP="009F45C4">
            <w:pPr>
              <w:widowControl w:val="0"/>
              <w:autoSpaceDE w:val="0"/>
              <w:autoSpaceDN w:val="0"/>
              <w:adjustRightInd w:val="0"/>
              <w:jc w:val="center"/>
            </w:pPr>
            <w:r>
              <w:t>Filter</w:t>
            </w:r>
            <w:r w:rsidR="009D4E95">
              <w:t xml:space="preserve"> Efficiencies</w:t>
            </w:r>
            <w:r w:rsidR="006B3AEA">
              <w:t xml:space="preserve"> </w:t>
            </w:r>
            <w:r w:rsidR="009D4E95">
              <w:t>(Percent)</w:t>
            </w:r>
          </w:p>
        </w:tc>
      </w:tr>
      <w:tr w:rsidR="009D4E95" w:rsidRPr="00CE6A8E" w:rsidTr="00D817AC">
        <w:trPr>
          <w:trHeight w:val="648"/>
        </w:trPr>
        <w:tc>
          <w:tcPr>
            <w:tcW w:w="2745" w:type="dxa"/>
            <w:vAlign w:val="bottom"/>
          </w:tcPr>
          <w:p w:rsidR="009D4E95" w:rsidRPr="005C5383" w:rsidRDefault="009D4E95" w:rsidP="009F45C4">
            <w:pPr>
              <w:widowControl w:val="0"/>
              <w:autoSpaceDE w:val="0"/>
              <w:autoSpaceDN w:val="0"/>
              <w:adjustRightInd w:val="0"/>
            </w:pPr>
            <w:r w:rsidRPr="005C5383">
              <w:t>Area Designation</w:t>
            </w:r>
          </w:p>
        </w:tc>
        <w:tc>
          <w:tcPr>
            <w:tcW w:w="2043" w:type="dxa"/>
            <w:vAlign w:val="bottom"/>
          </w:tcPr>
          <w:p w:rsidR="009D4E95" w:rsidRPr="00CE6A8E" w:rsidRDefault="009D4E95" w:rsidP="009F45C4">
            <w:pPr>
              <w:widowControl w:val="0"/>
              <w:autoSpaceDE w:val="0"/>
              <w:autoSpaceDN w:val="0"/>
              <w:adjustRightInd w:val="0"/>
              <w:jc w:val="center"/>
            </w:pPr>
            <w:r>
              <w:t xml:space="preserve">Minimum Number </w:t>
            </w:r>
            <w:r w:rsidRPr="005C5383">
              <w:rPr>
                <w:rPrChange w:id="1" w:author="jdotts" w:date="2010-05-03T09:02:00Z">
                  <w:rPr>
                    <w:u w:val="single"/>
                  </w:rPr>
                </w:rPrChange>
              </w:rPr>
              <w:t>of Filter Beds</w:t>
            </w:r>
          </w:p>
        </w:tc>
        <w:tc>
          <w:tcPr>
            <w:tcW w:w="1422" w:type="dxa"/>
            <w:vAlign w:val="bottom"/>
          </w:tcPr>
          <w:p w:rsidR="009D4E95" w:rsidRPr="00CE6A8E" w:rsidRDefault="009D4E95" w:rsidP="009F45C4">
            <w:pPr>
              <w:widowControl w:val="0"/>
              <w:autoSpaceDE w:val="0"/>
              <w:autoSpaceDN w:val="0"/>
              <w:adjustRightInd w:val="0"/>
              <w:jc w:val="center"/>
            </w:pPr>
            <w:r>
              <w:t xml:space="preserve">Filter Bed </w:t>
            </w:r>
            <w:r w:rsidRPr="005C5383">
              <w:rPr>
                <w:rPrChange w:id="2" w:author="jdotts" w:date="2010-05-03T09:02:00Z">
                  <w:rPr>
                    <w:u w:val="single"/>
                  </w:rPr>
                </w:rPrChange>
              </w:rPr>
              <w:t>No. 1</w:t>
            </w:r>
          </w:p>
        </w:tc>
        <w:tc>
          <w:tcPr>
            <w:tcW w:w="1395" w:type="dxa"/>
            <w:vAlign w:val="bottom"/>
          </w:tcPr>
          <w:p w:rsidR="009D4E95" w:rsidRPr="00CE6A8E" w:rsidRDefault="009D4E95" w:rsidP="009F45C4">
            <w:pPr>
              <w:widowControl w:val="0"/>
              <w:autoSpaceDE w:val="0"/>
              <w:autoSpaceDN w:val="0"/>
              <w:adjustRightInd w:val="0"/>
              <w:jc w:val="center"/>
            </w:pPr>
            <w:r>
              <w:t xml:space="preserve">Filter Bed </w:t>
            </w:r>
            <w:r w:rsidRPr="005C5383">
              <w:rPr>
                <w:rPrChange w:id="3" w:author="jdotts" w:date="2010-05-03T09:02:00Z">
                  <w:rPr>
                    <w:u w:val="single"/>
                  </w:rPr>
                </w:rPrChange>
              </w:rPr>
              <w:t>No. 2</w:t>
            </w:r>
          </w:p>
        </w:tc>
      </w:tr>
      <w:tr w:rsidR="009D4E95" w:rsidRPr="00CE6A8E">
        <w:trPr>
          <w:trHeight w:val="285"/>
        </w:trPr>
        <w:tc>
          <w:tcPr>
            <w:tcW w:w="2745" w:type="dxa"/>
          </w:tcPr>
          <w:p w:rsidR="009D4E95" w:rsidRPr="00CE6A8E" w:rsidRDefault="009D4E95" w:rsidP="009F45C4">
            <w:pPr>
              <w:widowControl w:val="0"/>
              <w:autoSpaceDE w:val="0"/>
              <w:autoSpaceDN w:val="0"/>
              <w:adjustRightInd w:val="0"/>
            </w:pPr>
          </w:p>
        </w:tc>
        <w:tc>
          <w:tcPr>
            <w:tcW w:w="2043" w:type="dxa"/>
          </w:tcPr>
          <w:p w:rsidR="009D4E95" w:rsidRPr="00CE6A8E" w:rsidRDefault="009D4E95" w:rsidP="009F45C4">
            <w:pPr>
              <w:widowControl w:val="0"/>
              <w:autoSpaceDE w:val="0"/>
              <w:autoSpaceDN w:val="0"/>
              <w:adjustRightInd w:val="0"/>
            </w:pPr>
          </w:p>
        </w:tc>
        <w:tc>
          <w:tcPr>
            <w:tcW w:w="1422" w:type="dxa"/>
          </w:tcPr>
          <w:p w:rsidR="009D4E95" w:rsidRPr="00CE6A8E" w:rsidRDefault="009D4E95" w:rsidP="009F45C4">
            <w:pPr>
              <w:widowControl w:val="0"/>
              <w:autoSpaceDE w:val="0"/>
              <w:autoSpaceDN w:val="0"/>
              <w:adjustRightInd w:val="0"/>
            </w:pPr>
          </w:p>
        </w:tc>
        <w:tc>
          <w:tcPr>
            <w:tcW w:w="1395" w:type="dxa"/>
          </w:tcPr>
          <w:p w:rsidR="009D4E95" w:rsidRPr="00CE6A8E" w:rsidRDefault="009D4E95" w:rsidP="009F45C4">
            <w:pPr>
              <w:widowControl w:val="0"/>
              <w:autoSpaceDE w:val="0"/>
              <w:autoSpaceDN w:val="0"/>
              <w:adjustRightInd w:val="0"/>
            </w:pPr>
          </w:p>
        </w:tc>
      </w:tr>
      <w:tr w:rsidR="009D4E95" w:rsidRPr="00CE6A8E">
        <w:trPr>
          <w:trHeight w:val="285"/>
        </w:trPr>
        <w:tc>
          <w:tcPr>
            <w:tcW w:w="2745" w:type="dxa"/>
            <w:vAlign w:val="bottom"/>
          </w:tcPr>
          <w:p w:rsidR="009D4E95" w:rsidRPr="00CE6A8E" w:rsidRDefault="009D4E95" w:rsidP="009F45C4">
            <w:pPr>
              <w:widowControl w:val="0"/>
              <w:autoSpaceDE w:val="0"/>
              <w:autoSpaceDN w:val="0"/>
              <w:adjustRightInd w:val="0"/>
            </w:pPr>
            <w:r>
              <w:t xml:space="preserve">Procedure and Recovery </w:t>
            </w:r>
            <w:r>
              <w:lastRenderedPageBreak/>
              <w:t>Rooms</w:t>
            </w:r>
          </w:p>
        </w:tc>
        <w:tc>
          <w:tcPr>
            <w:tcW w:w="2043" w:type="dxa"/>
            <w:vAlign w:val="bottom"/>
          </w:tcPr>
          <w:p w:rsidR="009D4E95" w:rsidRPr="00CE6A8E" w:rsidRDefault="009D4E95" w:rsidP="009F45C4">
            <w:pPr>
              <w:widowControl w:val="0"/>
              <w:autoSpaceDE w:val="0"/>
              <w:autoSpaceDN w:val="0"/>
              <w:adjustRightInd w:val="0"/>
              <w:jc w:val="center"/>
            </w:pPr>
            <w:r>
              <w:lastRenderedPageBreak/>
              <w:t>2</w:t>
            </w:r>
          </w:p>
        </w:tc>
        <w:tc>
          <w:tcPr>
            <w:tcW w:w="1422" w:type="dxa"/>
            <w:vAlign w:val="bottom"/>
          </w:tcPr>
          <w:p w:rsidR="009D4E95" w:rsidRPr="00CE6A8E" w:rsidRDefault="009D4E95" w:rsidP="009F45C4">
            <w:pPr>
              <w:widowControl w:val="0"/>
              <w:autoSpaceDE w:val="0"/>
              <w:autoSpaceDN w:val="0"/>
              <w:adjustRightInd w:val="0"/>
              <w:jc w:val="center"/>
            </w:pPr>
            <w:r>
              <w:t>25</w:t>
            </w:r>
          </w:p>
        </w:tc>
        <w:tc>
          <w:tcPr>
            <w:tcW w:w="1395" w:type="dxa"/>
            <w:vAlign w:val="bottom"/>
          </w:tcPr>
          <w:p w:rsidR="009D4E95" w:rsidRPr="00CE6A8E" w:rsidRDefault="009D4E95" w:rsidP="009F45C4">
            <w:pPr>
              <w:widowControl w:val="0"/>
              <w:autoSpaceDE w:val="0"/>
              <w:autoSpaceDN w:val="0"/>
              <w:adjustRightInd w:val="0"/>
              <w:jc w:val="center"/>
            </w:pPr>
            <w:r>
              <w:t>90</w:t>
            </w:r>
          </w:p>
        </w:tc>
      </w:tr>
      <w:tr w:rsidR="009D4E95" w:rsidRPr="00CE6A8E">
        <w:trPr>
          <w:trHeight w:val="285"/>
        </w:trPr>
        <w:tc>
          <w:tcPr>
            <w:tcW w:w="2745" w:type="dxa"/>
            <w:vAlign w:val="bottom"/>
          </w:tcPr>
          <w:p w:rsidR="009D4E95" w:rsidRPr="00CE6A8E" w:rsidRDefault="009D4E95" w:rsidP="009F45C4">
            <w:pPr>
              <w:widowControl w:val="0"/>
              <w:autoSpaceDE w:val="0"/>
              <w:autoSpaceDN w:val="0"/>
              <w:adjustRightInd w:val="0"/>
            </w:pPr>
          </w:p>
        </w:tc>
        <w:tc>
          <w:tcPr>
            <w:tcW w:w="2043" w:type="dxa"/>
            <w:vAlign w:val="bottom"/>
          </w:tcPr>
          <w:p w:rsidR="009D4E95" w:rsidRPr="00CE6A8E" w:rsidRDefault="009D4E95" w:rsidP="009F45C4">
            <w:pPr>
              <w:widowControl w:val="0"/>
              <w:autoSpaceDE w:val="0"/>
              <w:autoSpaceDN w:val="0"/>
              <w:adjustRightInd w:val="0"/>
              <w:jc w:val="center"/>
            </w:pPr>
          </w:p>
        </w:tc>
        <w:tc>
          <w:tcPr>
            <w:tcW w:w="1422" w:type="dxa"/>
            <w:vAlign w:val="bottom"/>
          </w:tcPr>
          <w:p w:rsidR="009D4E95" w:rsidRPr="00CE6A8E" w:rsidRDefault="009D4E95" w:rsidP="009F45C4">
            <w:pPr>
              <w:widowControl w:val="0"/>
              <w:autoSpaceDE w:val="0"/>
              <w:autoSpaceDN w:val="0"/>
              <w:adjustRightInd w:val="0"/>
              <w:jc w:val="center"/>
            </w:pPr>
          </w:p>
        </w:tc>
        <w:tc>
          <w:tcPr>
            <w:tcW w:w="1395" w:type="dxa"/>
            <w:vAlign w:val="bottom"/>
          </w:tcPr>
          <w:p w:rsidR="009D4E95" w:rsidRPr="00CE6A8E" w:rsidRDefault="009D4E95" w:rsidP="009F45C4">
            <w:pPr>
              <w:widowControl w:val="0"/>
              <w:autoSpaceDE w:val="0"/>
              <w:autoSpaceDN w:val="0"/>
              <w:adjustRightInd w:val="0"/>
              <w:jc w:val="center"/>
            </w:pPr>
          </w:p>
        </w:tc>
      </w:tr>
      <w:tr w:rsidR="009D4E95" w:rsidRPr="00CE6A8E">
        <w:trPr>
          <w:trHeight w:val="285"/>
        </w:trPr>
        <w:tc>
          <w:tcPr>
            <w:tcW w:w="2745" w:type="dxa"/>
            <w:vAlign w:val="bottom"/>
          </w:tcPr>
          <w:p w:rsidR="009D4E95" w:rsidRPr="00CE6A8E" w:rsidRDefault="009D4E95" w:rsidP="009F45C4">
            <w:pPr>
              <w:widowControl w:val="0"/>
              <w:autoSpaceDE w:val="0"/>
              <w:autoSpaceDN w:val="0"/>
              <w:adjustRightInd w:val="0"/>
            </w:pPr>
            <w:r>
              <w:t>All Other Areas</w:t>
            </w:r>
          </w:p>
        </w:tc>
        <w:tc>
          <w:tcPr>
            <w:tcW w:w="2043" w:type="dxa"/>
            <w:vAlign w:val="bottom"/>
          </w:tcPr>
          <w:p w:rsidR="009D4E95" w:rsidRPr="00CE6A8E" w:rsidRDefault="009D4E95" w:rsidP="009F45C4">
            <w:pPr>
              <w:widowControl w:val="0"/>
              <w:autoSpaceDE w:val="0"/>
              <w:autoSpaceDN w:val="0"/>
              <w:adjustRightInd w:val="0"/>
              <w:jc w:val="center"/>
            </w:pPr>
            <w:r>
              <w:t>1</w:t>
            </w:r>
          </w:p>
        </w:tc>
        <w:tc>
          <w:tcPr>
            <w:tcW w:w="1422" w:type="dxa"/>
            <w:vAlign w:val="bottom"/>
          </w:tcPr>
          <w:p w:rsidR="009D4E95" w:rsidRPr="00CE6A8E" w:rsidRDefault="009D4E95" w:rsidP="009F45C4">
            <w:pPr>
              <w:widowControl w:val="0"/>
              <w:autoSpaceDE w:val="0"/>
              <w:autoSpaceDN w:val="0"/>
              <w:adjustRightInd w:val="0"/>
              <w:jc w:val="center"/>
            </w:pPr>
            <w:r>
              <w:t>25</w:t>
            </w:r>
          </w:p>
        </w:tc>
        <w:tc>
          <w:tcPr>
            <w:tcW w:w="1395" w:type="dxa"/>
            <w:vAlign w:val="bottom"/>
          </w:tcPr>
          <w:p w:rsidR="009D4E95" w:rsidRPr="00CE6A8E" w:rsidRDefault="009D4E95" w:rsidP="009F45C4">
            <w:pPr>
              <w:widowControl w:val="0"/>
              <w:autoSpaceDE w:val="0"/>
              <w:autoSpaceDN w:val="0"/>
              <w:adjustRightInd w:val="0"/>
              <w:jc w:val="center"/>
            </w:pPr>
            <w:r>
              <w:t>--</w:t>
            </w:r>
          </w:p>
        </w:tc>
      </w:tr>
    </w:tbl>
    <w:p w:rsidR="009D4E95" w:rsidRDefault="009D4E95" w:rsidP="009F45C4">
      <w:pPr>
        <w:widowControl w:val="0"/>
        <w:autoSpaceDE w:val="0"/>
        <w:autoSpaceDN w:val="0"/>
        <w:adjustRightInd w:val="0"/>
      </w:pPr>
    </w:p>
    <w:p w:rsidR="0059761A" w:rsidRDefault="0059761A" w:rsidP="009F45C4">
      <w:pPr>
        <w:widowControl w:val="0"/>
        <w:autoSpaceDE w:val="0"/>
        <w:autoSpaceDN w:val="0"/>
        <w:adjustRightInd w:val="0"/>
        <w:ind w:left="1440" w:hanging="720"/>
      </w:pPr>
      <w:r>
        <w:t>i)</w:t>
      </w:r>
      <w:r>
        <w:tab/>
        <w:t>All filter efficiencies shall be average atmospheric dust spot efficiencies tested in accordance with the ASHRAE Standards 52</w:t>
      </w:r>
      <w:r w:rsidR="009F2464" w:rsidRPr="00F16BEA">
        <w:t>.1, 52.2, 55, 58, 62, 63.1, 63.2, 64, and</w:t>
      </w:r>
      <w:r>
        <w:t xml:space="preserve"> 68.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j)</w:t>
      </w:r>
      <w:r>
        <w:tab/>
        <w:t xml:space="preserve">For systems serving procedure and recovery rooms, filter bed No. 1 shall be located upstream of the </w:t>
      </w:r>
      <w:r w:rsidR="00FD1F2F">
        <w:t xml:space="preserve">air </w:t>
      </w:r>
      <w:r>
        <w:t>conditioning equipment</w:t>
      </w:r>
      <w:r w:rsidRPr="00F16BEA">
        <w:t>,</w:t>
      </w:r>
      <w:r>
        <w:t xml:space="preserve"> and filter bed No. 2 shall be located downstream of the supply fan and </w:t>
      </w:r>
      <w:r w:rsidR="00FD1F2F">
        <w:t xml:space="preserve">air </w:t>
      </w:r>
      <w:r>
        <w:t>conditioning equipment</w:t>
      </w:r>
      <w:r w:rsidRPr="00F16BEA">
        <w:t>,</w:t>
      </w:r>
      <w:r>
        <w:t xml:space="preserve"> including humidifiers.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k)</w:t>
      </w:r>
      <w:r>
        <w:tab/>
        <w:t xml:space="preserve">Filter frames shall be durable and shall provide an airtight fit with the enclosing duct work.  All joints between filter segments and enclosing duct work shall be gasketed or sealed to provide a positive seal against air leakage.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l)</w:t>
      </w:r>
      <w:r>
        <w:tab/>
        <w:t xml:space="preserve">A manometer shall be installed across each filter bed serving procedure and recovery rooms.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m)</w:t>
      </w:r>
      <w:r>
        <w:tab/>
        <w:t>Fire and smoke dampers shall be constructed, located and installed in accordanc</w:t>
      </w:r>
      <w:r w:rsidR="00CD3090">
        <w:t>e with the requirements of NFPA</w:t>
      </w:r>
      <w:r w:rsidR="00FD1F2F">
        <w:t xml:space="preserve"> </w:t>
      </w:r>
      <w:r>
        <w:t xml:space="preserve">90A.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n)</w:t>
      </w:r>
      <w:r>
        <w:tab/>
        <w:t xml:space="preserve">All systems, regardless of size, </w:t>
      </w:r>
      <w:r w:rsidR="009F2464" w:rsidRPr="00F16BEA">
        <w:t>that</w:t>
      </w:r>
      <w:r w:rsidR="009F2464">
        <w:t xml:space="preserve"> </w:t>
      </w:r>
      <w:r>
        <w:t>serve more than one smoke or fire zone shall be equipped with smoke detectors to shut down fans automatically as speci</w:t>
      </w:r>
      <w:r w:rsidR="00CD3090">
        <w:t>fied in paragraph 4-3.1 of NFPA</w:t>
      </w:r>
      <w:r w:rsidR="00FD1F2F">
        <w:t xml:space="preserve"> </w:t>
      </w:r>
      <w:r>
        <w:t xml:space="preserve">90A.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o)</w:t>
      </w:r>
      <w:r>
        <w:tab/>
        <w:t xml:space="preserve">The ventilation system for anesthesia storage rooms shall conform to the requirements of </w:t>
      </w:r>
      <w:r w:rsidR="00CD3090">
        <w:t>NFPA</w:t>
      </w:r>
      <w:r w:rsidR="00FD1F2F">
        <w:t xml:space="preserve"> </w:t>
      </w:r>
      <w:r w:rsidR="009F2464" w:rsidRPr="00F16BEA">
        <w:t>99</w:t>
      </w:r>
      <w:r>
        <w:t xml:space="preserve">, including the gravity option ventilation system.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p)</w:t>
      </w:r>
      <w:r>
        <w:tab/>
        <w:t>Boiler rooms shall be provided with sufficient outdoor air to maintain combustion rates of equipment and limit temperatures in working stations to 97</w:t>
      </w:r>
      <w:r w:rsidR="00735156">
        <w:t>˚</w:t>
      </w:r>
      <w:r>
        <w:t xml:space="preserve">F Effective Temperature as defined by </w:t>
      </w:r>
      <w:r w:rsidR="009F2464" w:rsidRPr="00F16BEA">
        <w:t>the</w:t>
      </w:r>
      <w:r w:rsidR="009F2464">
        <w:t xml:space="preserve"> </w:t>
      </w:r>
      <w:r>
        <w:t xml:space="preserve">ASHRAE Handbook of Fundamentals. </w:t>
      </w:r>
    </w:p>
    <w:p w:rsidR="00A63626" w:rsidRDefault="00A63626" w:rsidP="009F45C4">
      <w:pPr>
        <w:widowControl w:val="0"/>
        <w:autoSpaceDE w:val="0"/>
        <w:autoSpaceDN w:val="0"/>
        <w:adjustRightInd w:val="0"/>
        <w:ind w:left="1440" w:hanging="720"/>
      </w:pPr>
    </w:p>
    <w:p w:rsidR="0059761A" w:rsidRDefault="0059761A" w:rsidP="009F45C4">
      <w:pPr>
        <w:widowControl w:val="0"/>
        <w:autoSpaceDE w:val="0"/>
        <w:autoSpaceDN w:val="0"/>
        <w:adjustRightInd w:val="0"/>
        <w:ind w:left="1440" w:hanging="720"/>
      </w:pPr>
      <w:r>
        <w:t>q)</w:t>
      </w:r>
      <w:r>
        <w:tab/>
        <w:t>Rooms containing heat-producing equipment, such as boiler rooms and heater rooms, shall be insulated and ventilated to prevent any floor surface above from exceeding a temperature of 100</w:t>
      </w:r>
      <w:r w:rsidR="00735156">
        <w:t>˚</w:t>
      </w:r>
      <w:r>
        <w:t xml:space="preserve">F. </w:t>
      </w:r>
    </w:p>
    <w:p w:rsidR="00A63626" w:rsidRDefault="00A63626" w:rsidP="009F45C4">
      <w:pPr>
        <w:widowControl w:val="0"/>
        <w:autoSpaceDE w:val="0"/>
        <w:autoSpaceDN w:val="0"/>
        <w:adjustRightInd w:val="0"/>
        <w:ind w:left="720"/>
      </w:pPr>
    </w:p>
    <w:p w:rsidR="009F2464" w:rsidRDefault="009F2464" w:rsidP="009F45C4">
      <w:pPr>
        <w:widowControl w:val="0"/>
        <w:autoSpaceDE w:val="0"/>
        <w:autoSpaceDN w:val="0"/>
        <w:adjustRightInd w:val="0"/>
        <w:ind w:left="720"/>
      </w:pPr>
      <w:r w:rsidRPr="00F16BEA">
        <w:t>r)</w:t>
      </w:r>
      <w:r w:rsidRPr="00F16BEA">
        <w:tab/>
        <w:t>For dates of materials incorporated by reference, see Section 205.115</w:t>
      </w:r>
      <w:r w:rsidRPr="00C04559">
        <w:t>.</w:t>
      </w:r>
      <w:r>
        <w:t xml:space="preserve"> </w:t>
      </w:r>
    </w:p>
    <w:p w:rsidR="0059761A" w:rsidRDefault="0059761A">
      <w:pPr>
        <w:widowControl w:val="0"/>
        <w:autoSpaceDE w:val="0"/>
        <w:autoSpaceDN w:val="0"/>
        <w:adjustRightInd w:val="0"/>
        <w:ind w:left="1080" w:hanging="480"/>
      </w:pPr>
    </w:p>
    <w:p w:rsidR="00FD1F2F" w:rsidRPr="00D55B37" w:rsidRDefault="00FD1F2F">
      <w:pPr>
        <w:pStyle w:val="JCARSourceNote"/>
        <w:ind w:left="720"/>
      </w:pPr>
      <w:r w:rsidRPr="00D55B37">
        <w:t xml:space="preserve">(Source:  </w:t>
      </w:r>
      <w:r>
        <w:t>Amended</w:t>
      </w:r>
      <w:r w:rsidRPr="00D55B37">
        <w:t xml:space="preserve"> at </w:t>
      </w:r>
      <w:r>
        <w:t>34 I</w:t>
      </w:r>
      <w:r w:rsidRPr="00D55B37">
        <w:t xml:space="preserve">ll. Reg. </w:t>
      </w:r>
      <w:r w:rsidR="00D41CFE">
        <w:t>7915</w:t>
      </w:r>
      <w:r w:rsidRPr="00D55B37">
        <w:t xml:space="preserve">, effective </w:t>
      </w:r>
      <w:r w:rsidR="00D41CFE">
        <w:t>May 25, 2010</w:t>
      </w:r>
      <w:r w:rsidRPr="00D55B37">
        <w:t>)</w:t>
      </w:r>
    </w:p>
    <w:sectPr w:rsidR="00FD1F2F" w:rsidRPr="00D55B37" w:rsidSect="009F45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761A"/>
    <w:rsid w:val="00020154"/>
    <w:rsid w:val="00063F1A"/>
    <w:rsid w:val="000A29D4"/>
    <w:rsid w:val="00236911"/>
    <w:rsid w:val="0030445F"/>
    <w:rsid w:val="003C4006"/>
    <w:rsid w:val="003C71B3"/>
    <w:rsid w:val="00551AE1"/>
    <w:rsid w:val="0059761A"/>
    <w:rsid w:val="005C5383"/>
    <w:rsid w:val="00616764"/>
    <w:rsid w:val="006B3AEA"/>
    <w:rsid w:val="006E2D58"/>
    <w:rsid w:val="00735156"/>
    <w:rsid w:val="008359AC"/>
    <w:rsid w:val="00837053"/>
    <w:rsid w:val="008A293B"/>
    <w:rsid w:val="009946AD"/>
    <w:rsid w:val="009D4E95"/>
    <w:rsid w:val="009F2464"/>
    <w:rsid w:val="009F45C4"/>
    <w:rsid w:val="00A27FE7"/>
    <w:rsid w:val="00A63626"/>
    <w:rsid w:val="00C04559"/>
    <w:rsid w:val="00CD3090"/>
    <w:rsid w:val="00CE4D35"/>
    <w:rsid w:val="00D077EC"/>
    <w:rsid w:val="00D41CFE"/>
    <w:rsid w:val="00D817AC"/>
    <w:rsid w:val="00E402CC"/>
    <w:rsid w:val="00E81CC1"/>
    <w:rsid w:val="00F16BEA"/>
    <w:rsid w:val="00FD1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2464"/>
  </w:style>
  <w:style w:type="paragraph" w:styleId="BalloonText">
    <w:name w:val="Balloon Text"/>
    <w:basedOn w:val="Normal"/>
    <w:semiHidden/>
    <w:rsid w:val="008A293B"/>
    <w:rPr>
      <w:rFonts w:ascii="Tahoma" w:hAnsi="Tahoma" w:cs="Tahoma"/>
      <w:sz w:val="16"/>
      <w:szCs w:val="16"/>
    </w:rPr>
  </w:style>
  <w:style w:type="paragraph" w:styleId="DocumentMap">
    <w:name w:val="Document Map"/>
    <w:basedOn w:val="Normal"/>
    <w:semiHidden/>
    <w:rsid w:val="009F45C4"/>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2464"/>
  </w:style>
  <w:style w:type="paragraph" w:styleId="BalloonText">
    <w:name w:val="Balloon Text"/>
    <w:basedOn w:val="Normal"/>
    <w:semiHidden/>
    <w:rsid w:val="008A293B"/>
    <w:rPr>
      <w:rFonts w:ascii="Tahoma" w:hAnsi="Tahoma" w:cs="Tahoma"/>
      <w:sz w:val="16"/>
      <w:szCs w:val="16"/>
    </w:rPr>
  </w:style>
  <w:style w:type="paragraph" w:styleId="DocumentMap">
    <w:name w:val="Document Map"/>
    <w:basedOn w:val="Normal"/>
    <w:semiHidden/>
    <w:rsid w:val="009F45C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saboch</dc:creator>
  <cp:keywords/>
  <dc:description/>
  <cp:lastModifiedBy>Roberts, John</cp:lastModifiedBy>
  <cp:revision>3</cp:revision>
  <dcterms:created xsi:type="dcterms:W3CDTF">2012-06-21T22:59:00Z</dcterms:created>
  <dcterms:modified xsi:type="dcterms:W3CDTF">2012-06-21T22:59:00Z</dcterms:modified>
</cp:coreProperties>
</file>