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E2" w:rsidRDefault="00461EE2" w:rsidP="00316A39">
      <w:pPr>
        <w:widowControl w:val="0"/>
        <w:rPr>
          <w:b/>
        </w:rPr>
      </w:pPr>
    </w:p>
    <w:p w:rsidR="00316A39" w:rsidRPr="00316A39" w:rsidRDefault="00316A39" w:rsidP="00316A39">
      <w:pPr>
        <w:widowControl w:val="0"/>
        <w:rPr>
          <w:b/>
          <w:szCs w:val="22"/>
        </w:rPr>
      </w:pPr>
      <w:r w:rsidRPr="00316A39">
        <w:rPr>
          <w:b/>
        </w:rPr>
        <w:t>Section 150.400  Training Materials</w:t>
      </w:r>
    </w:p>
    <w:p w:rsidR="00316A39" w:rsidRPr="00316A39" w:rsidRDefault="00316A39" w:rsidP="00585D27">
      <w:pPr>
        <w:widowControl w:val="0"/>
      </w:pPr>
    </w:p>
    <w:p w:rsidR="00316A39" w:rsidRPr="00316A39" w:rsidRDefault="00316A39" w:rsidP="00316A39">
      <w:pPr>
        <w:widowControl w:val="0"/>
        <w:ind w:left="1440" w:hanging="720"/>
      </w:pPr>
      <w:r w:rsidRPr="00316A39">
        <w:t>a)</w:t>
      </w:r>
      <w:r w:rsidRPr="00316A39">
        <w:tab/>
        <w:t xml:space="preserve">All applicable health care providers and laboratories shall </w:t>
      </w:r>
      <w:r w:rsidRPr="00316A39">
        <w:rPr>
          <w:i/>
        </w:rPr>
        <w:t>ensure that all phlebotomists are trained in the most current methods of drawing blood from children and adults with intellectual and developmental disabilities</w:t>
      </w:r>
      <w:r w:rsidRPr="00316A39">
        <w:t>. Health care providers shall supplement any existing phlebotomist training with additional training materials provided on the Department</w:t>
      </w:r>
      <w:r w:rsidR="008B3532">
        <w:t>'</w:t>
      </w:r>
      <w:r w:rsidRPr="00316A39">
        <w:t xml:space="preserve">s website.  (Section 2310-218(b) of the Act)  </w:t>
      </w:r>
    </w:p>
    <w:p w:rsidR="00316A39" w:rsidRPr="00316A39" w:rsidRDefault="00316A39" w:rsidP="00585D27">
      <w:pPr>
        <w:widowControl w:val="0"/>
      </w:pPr>
      <w:bookmarkStart w:id="0" w:name="_GoBack"/>
      <w:bookmarkEnd w:id="0"/>
    </w:p>
    <w:p w:rsidR="00316A39" w:rsidRPr="00316A39" w:rsidRDefault="00316A39" w:rsidP="00316A39">
      <w:pPr>
        <w:widowControl w:val="0"/>
        <w:ind w:left="1440" w:hanging="720"/>
      </w:pPr>
      <w:r w:rsidRPr="00316A39">
        <w:t>b)</w:t>
      </w:r>
      <w:r w:rsidRPr="00316A39">
        <w:tab/>
        <w:t xml:space="preserve">The training described in subsection (a) shall be </w:t>
      </w:r>
      <w:r w:rsidRPr="00316A39">
        <w:rPr>
          <w:i/>
        </w:rPr>
        <w:t>part of a phlebotomist's initial employment training and</w:t>
      </w:r>
      <w:r w:rsidRPr="00316A39">
        <w:t xml:space="preserve"> shall be </w:t>
      </w:r>
      <w:r w:rsidRPr="00316A39">
        <w:rPr>
          <w:i/>
        </w:rPr>
        <w:t>part of any ongoing training to maintain competencies and certifications as a phlebotomist</w:t>
      </w:r>
      <w:r w:rsidRPr="00316A39">
        <w:t>.  (Section 2310-218(c) of the Act)</w:t>
      </w:r>
    </w:p>
    <w:sectPr w:rsidR="00316A39" w:rsidRPr="00316A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A39" w:rsidRDefault="00316A39">
      <w:r>
        <w:separator/>
      </w:r>
    </w:p>
  </w:endnote>
  <w:endnote w:type="continuationSeparator" w:id="0">
    <w:p w:rsidR="00316A39" w:rsidRDefault="003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A39" w:rsidRDefault="00316A39">
      <w:r>
        <w:separator/>
      </w:r>
    </w:p>
  </w:footnote>
  <w:footnote w:type="continuationSeparator" w:id="0">
    <w:p w:rsidR="00316A39" w:rsidRDefault="00316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A3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1EE2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D27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53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DF64F-DD1B-4937-AB2D-DF00CB47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596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2021-08-13T15:00:00Z</dcterms:created>
  <dcterms:modified xsi:type="dcterms:W3CDTF">2022-04-22T14:12:00Z</dcterms:modified>
</cp:coreProperties>
</file>