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F6" w:rsidRDefault="00F77AF6" w:rsidP="00F77A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AF6" w:rsidRDefault="00F77AF6" w:rsidP="00F77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790.10  Terms of Court</w:t>
      </w:r>
      <w:r>
        <w:t xml:space="preserve"> </w:t>
      </w:r>
    </w:p>
    <w:p w:rsidR="00F77AF6" w:rsidRDefault="00F77AF6" w:rsidP="00F77AF6">
      <w:pPr>
        <w:widowControl w:val="0"/>
        <w:autoSpaceDE w:val="0"/>
        <w:autoSpaceDN w:val="0"/>
        <w:adjustRightInd w:val="0"/>
      </w:pPr>
    </w:p>
    <w:p w:rsidR="00F77AF6" w:rsidRDefault="00F77AF6" w:rsidP="00F77AF6">
      <w:pPr>
        <w:widowControl w:val="0"/>
        <w:autoSpaceDE w:val="0"/>
        <w:autoSpaceDN w:val="0"/>
        <w:adjustRightInd w:val="0"/>
      </w:pPr>
      <w:r>
        <w:rPr>
          <w:i/>
          <w:iCs/>
        </w:rPr>
        <w:t>The Court shall hold sessions at such places as it deems necessary to expedite the business of the Court.</w:t>
      </w:r>
      <w:r>
        <w:t xml:space="preserve"> [ 705 ILCS 505/6] </w:t>
      </w:r>
    </w:p>
    <w:p w:rsidR="00F77AF6" w:rsidRDefault="00F77AF6" w:rsidP="00F77AF6">
      <w:pPr>
        <w:widowControl w:val="0"/>
        <w:autoSpaceDE w:val="0"/>
        <w:autoSpaceDN w:val="0"/>
        <w:adjustRightInd w:val="0"/>
      </w:pPr>
    </w:p>
    <w:p w:rsidR="00F77AF6" w:rsidRDefault="00F77AF6" w:rsidP="00F77A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8228, effective July 1, 2000) </w:t>
      </w:r>
    </w:p>
    <w:sectPr w:rsidR="00F77AF6" w:rsidSect="00F77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AF6"/>
    <w:rsid w:val="00112139"/>
    <w:rsid w:val="005C3366"/>
    <w:rsid w:val="00BF4CD0"/>
    <w:rsid w:val="00E05D66"/>
    <w:rsid w:val="00F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