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CE" w:rsidRDefault="005B53CE" w:rsidP="00493E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3CE" w:rsidRDefault="005B53CE" w:rsidP="00493E8C">
      <w:pPr>
        <w:widowControl w:val="0"/>
        <w:autoSpaceDE w:val="0"/>
        <w:autoSpaceDN w:val="0"/>
        <w:adjustRightInd w:val="0"/>
      </w:pPr>
      <w:r>
        <w:t xml:space="preserve">AUTHORITY:  Authorized by Section 26 of the Uniform Disposition of Unclaimed Property Act [765 ILCS 1025/26]. </w:t>
      </w:r>
    </w:p>
    <w:sectPr w:rsidR="005B53CE" w:rsidSect="00493E8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3CE"/>
    <w:rsid w:val="002D1E33"/>
    <w:rsid w:val="004753F6"/>
    <w:rsid w:val="00493E8C"/>
    <w:rsid w:val="005B53CE"/>
    <w:rsid w:val="00FC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26 of the Uniform Disposition of Unclaimed Property Act [765 ILCS 1025/26]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26 of the Uniform Disposition of Unclaimed Property Act [765 ILCS 1025/26]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