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2F5" w:rsidRDefault="000652F5" w:rsidP="0034375E"/>
    <w:p w:rsidR="0034375E" w:rsidRPr="000652F5" w:rsidRDefault="0034375E" w:rsidP="0034375E">
      <w:pPr>
        <w:rPr>
          <w:b/>
        </w:rPr>
      </w:pPr>
      <w:r w:rsidRPr="000652F5">
        <w:rPr>
          <w:b/>
        </w:rPr>
        <w:t>Section 760.</w:t>
      </w:r>
      <w:r w:rsidR="002A795C">
        <w:rPr>
          <w:b/>
        </w:rPr>
        <w:t>7</w:t>
      </w:r>
      <w:bookmarkStart w:id="0" w:name="_GoBack"/>
      <w:bookmarkEnd w:id="0"/>
      <w:r w:rsidRPr="000652F5">
        <w:rPr>
          <w:b/>
        </w:rPr>
        <w:t>80  Evidence of Unpaid Debt or Undischarged Obligation</w:t>
      </w:r>
    </w:p>
    <w:p w:rsidR="0034375E" w:rsidRPr="0034375E" w:rsidRDefault="0034375E" w:rsidP="0034375E"/>
    <w:p w:rsidR="0034375E" w:rsidRPr="0034375E" w:rsidRDefault="000652F5" w:rsidP="000652F5">
      <w:pPr>
        <w:ind w:left="1440" w:hanging="720"/>
        <w:rPr>
          <w:color w:val="000000"/>
        </w:rPr>
      </w:pPr>
      <w:r w:rsidRPr="000652F5">
        <w:rPr>
          <w:color w:val="000000"/>
        </w:rPr>
        <w:t>a)</w:t>
      </w:r>
      <w:r>
        <w:rPr>
          <w:i/>
          <w:color w:val="000000"/>
        </w:rPr>
        <w:tab/>
      </w:r>
      <w:r w:rsidR="0034375E" w:rsidRPr="0034375E">
        <w:rPr>
          <w:i/>
          <w:color w:val="000000"/>
        </w:rPr>
        <w:t>A record of a</w:t>
      </w:r>
      <w:r w:rsidR="0034375E" w:rsidRPr="0034375E">
        <w:rPr>
          <w:color w:val="000000"/>
        </w:rPr>
        <w:t xml:space="preserve"> person subject to examination </w:t>
      </w:r>
      <w:r w:rsidR="0034375E" w:rsidRPr="0034375E">
        <w:rPr>
          <w:i/>
          <w:color w:val="000000"/>
        </w:rPr>
        <w:t>showing an unpaid debt or undischarged obligation is prima facie evidence of the debt or obligation</w:t>
      </w:r>
      <w:r w:rsidR="0034375E" w:rsidRPr="0034375E">
        <w:rPr>
          <w:color w:val="000000"/>
        </w:rPr>
        <w:t>. [765 ILCS 1026/15-1005(a)]</w:t>
      </w:r>
    </w:p>
    <w:p w:rsidR="0034375E" w:rsidRPr="0034375E" w:rsidRDefault="0034375E" w:rsidP="0034375E">
      <w:pPr>
        <w:rPr>
          <w:color w:val="000000"/>
        </w:rPr>
      </w:pPr>
    </w:p>
    <w:p w:rsidR="0034375E" w:rsidRPr="0034375E" w:rsidRDefault="000652F5" w:rsidP="000652F5">
      <w:pPr>
        <w:ind w:left="1440" w:hanging="720"/>
        <w:rPr>
          <w:color w:val="000000"/>
        </w:rPr>
      </w:pPr>
      <w:r>
        <w:rPr>
          <w:color w:val="000000"/>
        </w:rPr>
        <w:t>b)</w:t>
      </w:r>
      <w:r>
        <w:rPr>
          <w:color w:val="000000"/>
        </w:rPr>
        <w:tab/>
      </w:r>
      <w:r w:rsidR="0034375E" w:rsidRPr="0034375E">
        <w:rPr>
          <w:color w:val="000000"/>
        </w:rPr>
        <w:t xml:space="preserve">A person subject to examination </w:t>
      </w:r>
      <w:r w:rsidR="0034375E" w:rsidRPr="0034375E">
        <w:rPr>
          <w:i/>
          <w:color w:val="000000"/>
        </w:rPr>
        <w:t>may establish by a preponderance of the evidence that there is no unpaid debt or undischarged obligation for a debt or obligation or that the debt or obligation was not, or no longer is, a fixed and certain obligation of the</w:t>
      </w:r>
      <w:r w:rsidR="0034375E" w:rsidRPr="0034375E">
        <w:rPr>
          <w:color w:val="000000"/>
        </w:rPr>
        <w:t xml:space="preserve"> person subject to examination. [765 ILCS 1026/15-1005(b)] Thus, the </w:t>
      </w:r>
      <w:r w:rsidR="0034375E" w:rsidRPr="005A470B">
        <w:rPr>
          <w:color w:val="000000"/>
        </w:rPr>
        <w:t xml:space="preserve">prima facie </w:t>
      </w:r>
      <w:r w:rsidR="0034375E" w:rsidRPr="0034375E">
        <w:rPr>
          <w:color w:val="000000"/>
        </w:rPr>
        <w:t>evidence may be rebutted by the person subject to examination.</w:t>
      </w:r>
    </w:p>
    <w:p w:rsidR="0034375E" w:rsidRPr="0034375E" w:rsidRDefault="0034375E" w:rsidP="0034375E">
      <w:pPr>
        <w:rPr>
          <w:color w:val="000000"/>
        </w:rPr>
      </w:pPr>
    </w:p>
    <w:p w:rsidR="0034375E" w:rsidRPr="0034375E" w:rsidRDefault="000652F5" w:rsidP="000652F5">
      <w:pPr>
        <w:ind w:left="1440" w:hanging="720"/>
        <w:rPr>
          <w:color w:val="000000"/>
        </w:rPr>
      </w:pPr>
      <w:r>
        <w:rPr>
          <w:color w:val="000000"/>
        </w:rPr>
        <w:t>c)</w:t>
      </w:r>
      <w:r>
        <w:rPr>
          <w:color w:val="000000"/>
        </w:rPr>
        <w:tab/>
      </w:r>
      <w:r w:rsidR="0034375E" w:rsidRPr="0034375E">
        <w:rPr>
          <w:color w:val="000000"/>
        </w:rPr>
        <w:t xml:space="preserve">A person subject to examination </w:t>
      </w:r>
      <w:r w:rsidR="0034375E" w:rsidRPr="0034375E">
        <w:rPr>
          <w:i/>
          <w:color w:val="000000"/>
        </w:rPr>
        <w:t>may overcome prima facie evidence by establishing by a preponderance of the evidence that a check, draft, or similar instrument was:</w:t>
      </w:r>
    </w:p>
    <w:p w:rsidR="0034375E" w:rsidRPr="0034375E" w:rsidRDefault="0034375E" w:rsidP="0034375E">
      <w:pPr>
        <w:rPr>
          <w:i/>
          <w:color w:val="000000"/>
        </w:rPr>
      </w:pPr>
    </w:p>
    <w:p w:rsidR="0034375E" w:rsidRPr="0034375E" w:rsidRDefault="000652F5" w:rsidP="000652F5">
      <w:pPr>
        <w:ind w:left="720" w:firstLine="720"/>
        <w:rPr>
          <w:color w:val="000000"/>
        </w:rPr>
      </w:pPr>
      <w:r w:rsidRPr="000652F5">
        <w:rPr>
          <w:color w:val="000000"/>
        </w:rPr>
        <w:t>1)</w:t>
      </w:r>
      <w:r>
        <w:rPr>
          <w:i/>
          <w:color w:val="000000"/>
        </w:rPr>
        <w:tab/>
      </w:r>
      <w:r w:rsidR="0034375E" w:rsidRPr="0034375E">
        <w:rPr>
          <w:i/>
          <w:color w:val="000000"/>
        </w:rPr>
        <w:t>issued as an unaccepted offer in settlement of an unliquidated amount;</w:t>
      </w:r>
    </w:p>
    <w:p w:rsidR="0034375E" w:rsidRPr="0034375E" w:rsidRDefault="0034375E" w:rsidP="0034375E">
      <w:pPr>
        <w:rPr>
          <w:color w:val="000000"/>
        </w:rPr>
      </w:pPr>
    </w:p>
    <w:p w:rsidR="0034375E" w:rsidRPr="0034375E" w:rsidRDefault="000652F5" w:rsidP="000652F5">
      <w:pPr>
        <w:ind w:left="2160" w:hanging="720"/>
        <w:rPr>
          <w:color w:val="000000"/>
        </w:rPr>
      </w:pPr>
      <w:r w:rsidRPr="000652F5">
        <w:rPr>
          <w:color w:val="000000"/>
        </w:rPr>
        <w:t>2)</w:t>
      </w:r>
      <w:r>
        <w:rPr>
          <w:i/>
          <w:color w:val="000000"/>
        </w:rPr>
        <w:tab/>
      </w:r>
      <w:r w:rsidR="0034375E" w:rsidRPr="0034375E">
        <w:rPr>
          <w:i/>
          <w:color w:val="000000"/>
        </w:rPr>
        <w:t>issued but later was replaced with another instrument because the earlier instrument was lost or contained an error that was corrected;</w:t>
      </w:r>
    </w:p>
    <w:p w:rsidR="0034375E" w:rsidRPr="0034375E" w:rsidRDefault="0034375E" w:rsidP="0034375E">
      <w:pPr>
        <w:rPr>
          <w:i/>
          <w:color w:val="000000"/>
        </w:rPr>
      </w:pPr>
    </w:p>
    <w:p w:rsidR="0034375E" w:rsidRPr="0034375E" w:rsidRDefault="000652F5" w:rsidP="000652F5">
      <w:pPr>
        <w:ind w:left="720" w:firstLine="720"/>
        <w:rPr>
          <w:color w:val="000000"/>
        </w:rPr>
      </w:pPr>
      <w:r>
        <w:rPr>
          <w:color w:val="000000"/>
        </w:rPr>
        <w:t>3)</w:t>
      </w:r>
      <w:r>
        <w:rPr>
          <w:i/>
          <w:color w:val="000000"/>
        </w:rPr>
        <w:tab/>
      </w:r>
      <w:r w:rsidR="0034375E" w:rsidRPr="0034375E">
        <w:rPr>
          <w:i/>
          <w:color w:val="000000"/>
        </w:rPr>
        <w:t>issued to a party affiliated with the issuer;</w:t>
      </w:r>
    </w:p>
    <w:p w:rsidR="0034375E" w:rsidRPr="0034375E" w:rsidRDefault="0034375E" w:rsidP="0034375E">
      <w:pPr>
        <w:rPr>
          <w:i/>
          <w:color w:val="000000"/>
        </w:rPr>
      </w:pPr>
    </w:p>
    <w:p w:rsidR="0034375E" w:rsidRPr="0034375E" w:rsidRDefault="000652F5" w:rsidP="000652F5">
      <w:pPr>
        <w:ind w:left="720" w:firstLine="720"/>
        <w:rPr>
          <w:color w:val="000000"/>
        </w:rPr>
      </w:pPr>
      <w:r w:rsidRPr="000652F5">
        <w:rPr>
          <w:color w:val="000000"/>
        </w:rPr>
        <w:t>4)</w:t>
      </w:r>
      <w:r w:rsidRPr="000652F5">
        <w:rPr>
          <w:color w:val="000000"/>
        </w:rPr>
        <w:tab/>
      </w:r>
      <w:r w:rsidR="0034375E" w:rsidRPr="0034375E">
        <w:rPr>
          <w:i/>
          <w:color w:val="000000"/>
        </w:rPr>
        <w:t>paid, satisfied, or discharged;</w:t>
      </w:r>
    </w:p>
    <w:p w:rsidR="0034375E" w:rsidRPr="0034375E" w:rsidRDefault="0034375E" w:rsidP="0034375E">
      <w:pPr>
        <w:rPr>
          <w:i/>
          <w:color w:val="000000"/>
        </w:rPr>
      </w:pPr>
    </w:p>
    <w:p w:rsidR="0034375E" w:rsidRPr="0034375E" w:rsidRDefault="000652F5" w:rsidP="000652F5">
      <w:pPr>
        <w:ind w:left="720" w:firstLine="720"/>
        <w:rPr>
          <w:color w:val="000000"/>
        </w:rPr>
      </w:pPr>
      <w:r w:rsidRPr="000652F5">
        <w:rPr>
          <w:color w:val="000000"/>
        </w:rPr>
        <w:t>5)</w:t>
      </w:r>
      <w:r>
        <w:rPr>
          <w:i/>
          <w:color w:val="000000"/>
        </w:rPr>
        <w:tab/>
      </w:r>
      <w:r w:rsidR="0034375E" w:rsidRPr="0034375E">
        <w:rPr>
          <w:i/>
          <w:color w:val="000000"/>
        </w:rPr>
        <w:t>issued in error;</w:t>
      </w:r>
    </w:p>
    <w:p w:rsidR="0034375E" w:rsidRPr="0034375E" w:rsidRDefault="0034375E" w:rsidP="0034375E">
      <w:pPr>
        <w:rPr>
          <w:i/>
          <w:color w:val="000000"/>
        </w:rPr>
      </w:pPr>
    </w:p>
    <w:p w:rsidR="0034375E" w:rsidRPr="0034375E" w:rsidRDefault="000652F5" w:rsidP="000652F5">
      <w:pPr>
        <w:ind w:left="720" w:firstLine="720"/>
        <w:rPr>
          <w:color w:val="000000"/>
        </w:rPr>
      </w:pPr>
      <w:r w:rsidRPr="000652F5">
        <w:rPr>
          <w:color w:val="000000"/>
        </w:rPr>
        <w:t>6)</w:t>
      </w:r>
      <w:r>
        <w:rPr>
          <w:i/>
          <w:color w:val="000000"/>
        </w:rPr>
        <w:tab/>
      </w:r>
      <w:r w:rsidR="0034375E" w:rsidRPr="0034375E">
        <w:rPr>
          <w:i/>
          <w:color w:val="000000"/>
        </w:rPr>
        <w:t>issued without consideration;</w:t>
      </w:r>
    </w:p>
    <w:p w:rsidR="0034375E" w:rsidRPr="0034375E" w:rsidRDefault="0034375E" w:rsidP="0034375E">
      <w:pPr>
        <w:rPr>
          <w:i/>
          <w:color w:val="000000"/>
        </w:rPr>
      </w:pPr>
    </w:p>
    <w:p w:rsidR="0034375E" w:rsidRPr="0034375E" w:rsidRDefault="000652F5" w:rsidP="000652F5">
      <w:pPr>
        <w:ind w:left="720" w:firstLine="720"/>
        <w:rPr>
          <w:color w:val="000000"/>
        </w:rPr>
      </w:pPr>
      <w:r w:rsidRPr="000652F5">
        <w:rPr>
          <w:color w:val="000000"/>
        </w:rPr>
        <w:t>7)</w:t>
      </w:r>
      <w:r>
        <w:rPr>
          <w:i/>
          <w:color w:val="000000"/>
        </w:rPr>
        <w:tab/>
      </w:r>
      <w:r w:rsidR="0034375E" w:rsidRPr="0034375E">
        <w:rPr>
          <w:i/>
          <w:color w:val="000000"/>
        </w:rPr>
        <w:t>issued but there was a failure of consideration;</w:t>
      </w:r>
    </w:p>
    <w:p w:rsidR="0034375E" w:rsidRPr="0034375E" w:rsidRDefault="0034375E" w:rsidP="0034375E">
      <w:pPr>
        <w:rPr>
          <w:i/>
          <w:color w:val="000000"/>
        </w:rPr>
      </w:pPr>
    </w:p>
    <w:p w:rsidR="0034375E" w:rsidRPr="0034375E" w:rsidRDefault="000652F5" w:rsidP="000652F5">
      <w:pPr>
        <w:ind w:left="2160" w:hanging="720"/>
        <w:rPr>
          <w:color w:val="000000"/>
        </w:rPr>
      </w:pPr>
      <w:r w:rsidRPr="000652F5">
        <w:rPr>
          <w:color w:val="000000"/>
        </w:rPr>
        <w:t>8)</w:t>
      </w:r>
      <w:r>
        <w:rPr>
          <w:i/>
          <w:color w:val="000000"/>
        </w:rPr>
        <w:tab/>
      </w:r>
      <w:r w:rsidR="0034375E" w:rsidRPr="0034375E">
        <w:rPr>
          <w:i/>
          <w:color w:val="000000"/>
        </w:rPr>
        <w:t>voided not later than 90 days after issuance for a valid business reason set forth in a contemporaneous record;</w:t>
      </w:r>
    </w:p>
    <w:p w:rsidR="0034375E" w:rsidRPr="0034375E" w:rsidRDefault="0034375E" w:rsidP="0034375E">
      <w:pPr>
        <w:rPr>
          <w:color w:val="000000"/>
        </w:rPr>
      </w:pPr>
    </w:p>
    <w:p w:rsidR="0034375E" w:rsidRPr="0034375E" w:rsidRDefault="000652F5" w:rsidP="000652F5">
      <w:pPr>
        <w:ind w:left="2880" w:hanging="720"/>
        <w:rPr>
          <w:color w:val="000000"/>
        </w:rPr>
      </w:pPr>
      <w:r>
        <w:rPr>
          <w:color w:val="000000"/>
        </w:rPr>
        <w:t>A)</w:t>
      </w:r>
      <w:r>
        <w:rPr>
          <w:color w:val="000000"/>
        </w:rPr>
        <w:tab/>
      </w:r>
      <w:r w:rsidR="0034375E" w:rsidRPr="0034375E">
        <w:rPr>
          <w:color w:val="000000"/>
        </w:rPr>
        <w:t xml:space="preserve">for purposes of this provision </w:t>
      </w:r>
      <w:r>
        <w:rPr>
          <w:color w:val="000000"/>
        </w:rPr>
        <w:t>"</w:t>
      </w:r>
      <w:r w:rsidR="0034375E" w:rsidRPr="0034375E">
        <w:rPr>
          <w:color w:val="000000"/>
        </w:rPr>
        <w:t>valid business reason</w:t>
      </w:r>
      <w:r>
        <w:rPr>
          <w:color w:val="000000"/>
        </w:rPr>
        <w:t>"</w:t>
      </w:r>
      <w:r w:rsidR="0034375E" w:rsidRPr="0034375E">
        <w:rPr>
          <w:color w:val="000000"/>
        </w:rPr>
        <w:t xml:space="preserve"> does not include a policy of voiding outstanding checks, drafts, or similar instruments after a specified number of days;</w:t>
      </w:r>
    </w:p>
    <w:p w:rsidR="0034375E" w:rsidRPr="0034375E" w:rsidRDefault="0034375E" w:rsidP="0034375E">
      <w:pPr>
        <w:rPr>
          <w:color w:val="000000"/>
        </w:rPr>
      </w:pPr>
    </w:p>
    <w:p w:rsidR="0034375E" w:rsidRPr="0034375E" w:rsidRDefault="000652F5" w:rsidP="000652F5">
      <w:pPr>
        <w:ind w:left="2880" w:hanging="720"/>
        <w:rPr>
          <w:color w:val="000000"/>
        </w:rPr>
      </w:pPr>
      <w:r>
        <w:rPr>
          <w:color w:val="000000"/>
        </w:rPr>
        <w:t>B)</w:t>
      </w:r>
      <w:r>
        <w:rPr>
          <w:color w:val="000000"/>
        </w:rPr>
        <w:tab/>
      </w:r>
      <w:r w:rsidR="0034375E" w:rsidRPr="0034375E">
        <w:rPr>
          <w:color w:val="000000"/>
        </w:rPr>
        <w:t xml:space="preserve">a policy of automatically voiding would be tantamount to a private escheat law in violation of longstanding public policy in Illinois </w:t>
      </w:r>
      <w:r w:rsidR="005A470B">
        <w:rPr>
          <w:color w:val="000000"/>
        </w:rPr>
        <w:t>(</w:t>
      </w:r>
      <w:r w:rsidR="0034375E" w:rsidRPr="0034375E">
        <w:rPr>
          <w:color w:val="000000"/>
        </w:rPr>
        <w:t xml:space="preserve">see </w:t>
      </w:r>
      <w:r w:rsidR="0034375E" w:rsidRPr="005A470B">
        <w:rPr>
          <w:color w:val="000000"/>
        </w:rPr>
        <w:t>People ex rel. Callahan v. Marshall Field &amp; Co.</w:t>
      </w:r>
      <w:r w:rsidR="0034375E" w:rsidRPr="0034375E">
        <w:rPr>
          <w:color w:val="000000"/>
        </w:rPr>
        <w:t>, 83 Ill. App. 3d 811, 818, 404 N.E.2d 368, 374 (1980)</w:t>
      </w:r>
      <w:r w:rsidR="00143196">
        <w:rPr>
          <w:color w:val="000000"/>
        </w:rPr>
        <w:t>)</w:t>
      </w:r>
      <w:r w:rsidR="0034375E" w:rsidRPr="0034375E">
        <w:rPr>
          <w:color w:val="000000"/>
        </w:rPr>
        <w:t>;</w:t>
      </w:r>
    </w:p>
    <w:p w:rsidR="0034375E" w:rsidRPr="0034375E" w:rsidRDefault="0034375E" w:rsidP="0034375E">
      <w:pPr>
        <w:rPr>
          <w:color w:val="000000"/>
        </w:rPr>
      </w:pPr>
    </w:p>
    <w:p w:rsidR="0034375E" w:rsidRPr="0034375E" w:rsidRDefault="000652F5" w:rsidP="000652F5">
      <w:pPr>
        <w:ind w:left="2880" w:hanging="720"/>
        <w:rPr>
          <w:color w:val="000000"/>
        </w:rPr>
      </w:pPr>
      <w:r>
        <w:rPr>
          <w:color w:val="000000"/>
        </w:rPr>
        <w:lastRenderedPageBreak/>
        <w:t>C)</w:t>
      </w:r>
      <w:r>
        <w:rPr>
          <w:color w:val="000000"/>
        </w:rPr>
        <w:tab/>
      </w:r>
      <w:r w:rsidR="0034375E" w:rsidRPr="0034375E">
        <w:rPr>
          <w:color w:val="000000"/>
        </w:rPr>
        <w:t>this defense merely indicates that when a check, draft, or similar instrument is voided quickly, for a valid business reason (i.e.</w:t>
      </w:r>
      <w:r w:rsidR="00143196">
        <w:rPr>
          <w:color w:val="000000"/>
        </w:rPr>
        <w:t>,</w:t>
      </w:r>
      <w:r w:rsidR="0034375E" w:rsidRPr="0034375E">
        <w:rPr>
          <w:color w:val="000000"/>
        </w:rPr>
        <w:t xml:space="preserve"> not as a private escheat law), and the reason is indicated in a contemporaneous record</w:t>
      </w:r>
      <w:r w:rsidR="005A470B">
        <w:rPr>
          <w:color w:val="000000"/>
        </w:rPr>
        <w:t>,</w:t>
      </w:r>
      <w:r w:rsidR="0034375E" w:rsidRPr="0034375E">
        <w:rPr>
          <w:color w:val="000000"/>
        </w:rPr>
        <w:t xml:space="preserve"> there is sufficient evidence to overcome the </w:t>
      </w:r>
      <w:r w:rsidR="0034375E" w:rsidRPr="00143196">
        <w:rPr>
          <w:color w:val="000000"/>
        </w:rPr>
        <w:t>prima facie</w:t>
      </w:r>
      <w:r w:rsidR="0034375E" w:rsidRPr="0034375E">
        <w:rPr>
          <w:color w:val="000000"/>
        </w:rPr>
        <w:t xml:space="preserve"> evidence of the existence of a debt or obligation; or</w:t>
      </w:r>
    </w:p>
    <w:p w:rsidR="0034375E" w:rsidRPr="0034375E" w:rsidRDefault="0034375E" w:rsidP="0034375E">
      <w:pPr>
        <w:rPr>
          <w:i/>
          <w:color w:val="000000"/>
        </w:rPr>
      </w:pPr>
    </w:p>
    <w:p w:rsidR="0034375E" w:rsidRPr="0034375E" w:rsidRDefault="000652F5" w:rsidP="000652F5">
      <w:pPr>
        <w:ind w:left="2160" w:hanging="720"/>
        <w:rPr>
          <w:color w:val="000000"/>
        </w:rPr>
      </w:pPr>
      <w:r w:rsidRPr="000652F5">
        <w:rPr>
          <w:color w:val="000000"/>
        </w:rPr>
        <w:t>9)</w:t>
      </w:r>
      <w:r w:rsidRPr="000652F5">
        <w:rPr>
          <w:color w:val="000000"/>
        </w:rPr>
        <w:tab/>
      </w:r>
      <w:r w:rsidR="0034375E" w:rsidRPr="0034375E">
        <w:rPr>
          <w:i/>
          <w:color w:val="000000"/>
        </w:rPr>
        <w:t xml:space="preserve">issued but not delivered to the third-party payee for a sufficient reason recorded within a reasonable time after issuance. </w:t>
      </w:r>
      <w:r w:rsidR="0034375E" w:rsidRPr="0034375E">
        <w:rPr>
          <w:color w:val="000000"/>
        </w:rPr>
        <w:t>[765 ILCS 1026/15-1005(c)]</w:t>
      </w:r>
    </w:p>
    <w:p w:rsidR="0034375E" w:rsidRPr="0034375E" w:rsidRDefault="0034375E" w:rsidP="0034375E">
      <w:pPr>
        <w:rPr>
          <w:color w:val="000000"/>
        </w:rPr>
      </w:pPr>
    </w:p>
    <w:p w:rsidR="0034375E" w:rsidRPr="0034375E" w:rsidRDefault="000652F5" w:rsidP="000652F5">
      <w:pPr>
        <w:ind w:left="1440" w:hanging="720"/>
        <w:rPr>
          <w:color w:val="000000"/>
        </w:rPr>
      </w:pPr>
      <w:r w:rsidRPr="000652F5">
        <w:rPr>
          <w:color w:val="000000"/>
        </w:rPr>
        <w:t>d)</w:t>
      </w:r>
      <w:r>
        <w:rPr>
          <w:i/>
          <w:color w:val="000000"/>
        </w:rPr>
        <w:tab/>
      </w:r>
      <w:r w:rsidR="0034375E" w:rsidRPr="0034375E">
        <w:rPr>
          <w:i/>
          <w:color w:val="000000"/>
        </w:rPr>
        <w:t xml:space="preserve">In asserting a defense under this Section, and subject to the records retention requirements of </w:t>
      </w:r>
      <w:r w:rsidR="0034375E" w:rsidRPr="005A470B">
        <w:rPr>
          <w:i/>
          <w:color w:val="000000"/>
        </w:rPr>
        <w:t>the</w:t>
      </w:r>
      <w:r w:rsidR="0034375E" w:rsidRPr="0034375E">
        <w:rPr>
          <w:color w:val="000000"/>
        </w:rPr>
        <w:t xml:space="preserve"> Act</w:t>
      </w:r>
      <w:r w:rsidR="0034375E" w:rsidRPr="0034375E">
        <w:rPr>
          <w:i/>
          <w:color w:val="000000"/>
        </w:rPr>
        <w:t>, a putative holder may present evidence of a course of dealing between the putative holder and the apparent owner.</w:t>
      </w:r>
      <w:r w:rsidR="0034375E" w:rsidRPr="0034375E">
        <w:rPr>
          <w:color w:val="000000"/>
        </w:rPr>
        <w:t xml:space="preserve"> [765 ILCS 1026/15-1005(d)]</w:t>
      </w:r>
    </w:p>
    <w:sectPr w:rsidR="0034375E" w:rsidRPr="0034375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75E" w:rsidRDefault="0034375E">
      <w:r>
        <w:separator/>
      </w:r>
    </w:p>
  </w:endnote>
  <w:endnote w:type="continuationSeparator" w:id="0">
    <w:p w:rsidR="0034375E" w:rsidRDefault="00343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75E" w:rsidRDefault="0034375E">
      <w:r>
        <w:separator/>
      </w:r>
    </w:p>
  </w:footnote>
  <w:footnote w:type="continuationSeparator" w:id="0">
    <w:p w:rsidR="0034375E" w:rsidRDefault="00343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45298"/>
    <w:multiLevelType w:val="hybridMultilevel"/>
    <w:tmpl w:val="52782E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81342366">
      <w:start w:val="1"/>
      <w:numFmt w:val="upperLetter"/>
      <w:lvlText w:val="%3)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75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52F5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196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95C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375E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470B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3B9A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80EE3F-CEC7-4811-A200-120471BBD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43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407</Words>
  <Characters>2104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6</cp:revision>
  <dcterms:created xsi:type="dcterms:W3CDTF">2018-02-28T20:01:00Z</dcterms:created>
  <dcterms:modified xsi:type="dcterms:W3CDTF">2018-07-09T19:55:00Z</dcterms:modified>
</cp:coreProperties>
</file>