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8A" w:rsidRDefault="00241E8A" w:rsidP="00E205F7"/>
    <w:p w:rsidR="00E205F7" w:rsidRPr="00241E8A" w:rsidRDefault="00E205F7" w:rsidP="00E205F7">
      <w:pPr>
        <w:rPr>
          <w:b/>
        </w:rPr>
      </w:pPr>
      <w:r w:rsidRPr="00241E8A">
        <w:rPr>
          <w:b/>
        </w:rPr>
        <w:t>Section 760.</w:t>
      </w:r>
      <w:r w:rsidR="00135962">
        <w:rPr>
          <w:b/>
        </w:rPr>
        <w:t>5</w:t>
      </w:r>
      <w:bookmarkStart w:id="0" w:name="_GoBack"/>
      <w:bookmarkEnd w:id="0"/>
      <w:r w:rsidRPr="00241E8A">
        <w:rPr>
          <w:b/>
        </w:rPr>
        <w:t>50  Updating Apparent Owner Data</w:t>
      </w:r>
    </w:p>
    <w:p w:rsidR="00E205F7" w:rsidRPr="00E205F7" w:rsidRDefault="00E205F7" w:rsidP="00E205F7">
      <w:pPr>
        <w:rPr>
          <w:color w:val="000000"/>
        </w:rPr>
      </w:pPr>
    </w:p>
    <w:p w:rsidR="00E205F7" w:rsidRPr="00E205F7" w:rsidRDefault="00241E8A" w:rsidP="00241E8A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E205F7" w:rsidRPr="00E205F7">
        <w:rPr>
          <w:color w:val="000000"/>
        </w:rPr>
        <w:t>The administrator may utilize publicly and commercially available databases</w:t>
      </w:r>
      <w:r w:rsidR="00524DA7">
        <w:rPr>
          <w:color w:val="000000"/>
        </w:rPr>
        <w:t>,</w:t>
      </w:r>
      <w:r w:rsidR="00E205F7" w:rsidRPr="00E205F7">
        <w:rPr>
          <w:color w:val="000000"/>
        </w:rPr>
        <w:t xml:space="preserve"> as well as information obtained through data sharing agreements authorized by the Act</w:t>
      </w:r>
      <w:r w:rsidR="00524DA7">
        <w:rPr>
          <w:color w:val="000000"/>
        </w:rPr>
        <w:t>,</w:t>
      </w:r>
      <w:r w:rsidR="00E205F7" w:rsidRPr="00E205F7">
        <w:rPr>
          <w:color w:val="000000"/>
        </w:rPr>
        <w:t xml:space="preserve"> to find and update or add information for apparent owners of property held by the administrator.</w:t>
      </w:r>
    </w:p>
    <w:p w:rsidR="00E205F7" w:rsidRPr="00E205F7" w:rsidRDefault="00E205F7" w:rsidP="00E205F7">
      <w:pPr>
        <w:rPr>
          <w:color w:val="000000"/>
        </w:rPr>
      </w:pPr>
    </w:p>
    <w:p w:rsidR="00E205F7" w:rsidRPr="00E205F7" w:rsidRDefault="00241E8A" w:rsidP="00241E8A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E205F7" w:rsidRPr="00E205F7">
        <w:rPr>
          <w:color w:val="000000"/>
        </w:rPr>
        <w:t>The administrator may, but is not required to, update or add a mailing address or e-mail address for an apparent owner prior to sending notices required by the Act.</w:t>
      </w:r>
    </w:p>
    <w:p w:rsidR="00E205F7" w:rsidRPr="00E205F7" w:rsidRDefault="00E205F7" w:rsidP="00E205F7">
      <w:pPr>
        <w:rPr>
          <w:color w:val="000000"/>
        </w:rPr>
      </w:pPr>
    </w:p>
    <w:p w:rsidR="00E205F7" w:rsidRPr="00E205F7" w:rsidRDefault="00241E8A" w:rsidP="00241E8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E205F7" w:rsidRPr="00E205F7">
        <w:rPr>
          <w:color w:val="000000"/>
        </w:rPr>
        <w:t>If a required notice has already been sent by the administrator, the administrator does not need to send a new written notice merely because a mailing address or e-mail address for an apparent owner has been subsequently updated or added.</w:t>
      </w:r>
    </w:p>
    <w:sectPr w:rsidR="00E205F7" w:rsidRPr="00E205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F7" w:rsidRDefault="00E205F7">
      <w:r>
        <w:separator/>
      </w:r>
    </w:p>
  </w:endnote>
  <w:endnote w:type="continuationSeparator" w:id="0">
    <w:p w:rsidR="00E205F7" w:rsidRDefault="00E2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F7" w:rsidRDefault="00E205F7">
      <w:r>
        <w:separator/>
      </w:r>
    </w:p>
  </w:footnote>
  <w:footnote w:type="continuationSeparator" w:id="0">
    <w:p w:rsidR="00E205F7" w:rsidRDefault="00E2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74F2"/>
    <w:multiLevelType w:val="hybridMultilevel"/>
    <w:tmpl w:val="0652B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96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E8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DA7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5F7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3B02-6797-4E75-9E67-968F9461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2018-07-09T19:51:00Z</dcterms:modified>
</cp:coreProperties>
</file>