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0824" w14:textId="77777777" w:rsidR="008256E8" w:rsidRDefault="008256E8" w:rsidP="00572FB0"/>
    <w:p w14:paraId="7C3C106F" w14:textId="77777777" w:rsidR="00572FB0" w:rsidRPr="008256E8" w:rsidRDefault="00572FB0" w:rsidP="00572FB0">
      <w:pPr>
        <w:rPr>
          <w:b/>
        </w:rPr>
      </w:pPr>
      <w:r w:rsidRPr="008256E8">
        <w:rPr>
          <w:b/>
        </w:rPr>
        <w:t>Section 760.</w:t>
      </w:r>
      <w:r w:rsidR="00D86722">
        <w:rPr>
          <w:b/>
        </w:rPr>
        <w:t>4</w:t>
      </w:r>
      <w:r w:rsidRPr="008256E8">
        <w:rPr>
          <w:b/>
        </w:rPr>
        <w:t>00  Holder Reporting Required</w:t>
      </w:r>
    </w:p>
    <w:p w14:paraId="274F7DD8" w14:textId="77777777" w:rsidR="00572FB0" w:rsidRPr="00572FB0" w:rsidRDefault="00572FB0" w:rsidP="00572FB0"/>
    <w:p w14:paraId="2F9B8356" w14:textId="77777777" w:rsidR="00572FB0" w:rsidRPr="00572FB0" w:rsidRDefault="008256E8" w:rsidP="008256E8">
      <w:pPr>
        <w:ind w:left="1440" w:hanging="720"/>
        <w:rPr>
          <w:color w:val="000000"/>
        </w:rPr>
      </w:pPr>
      <w:r>
        <w:rPr>
          <w:color w:val="000000"/>
        </w:rPr>
        <w:t>a)</w:t>
      </w:r>
      <w:r>
        <w:rPr>
          <w:color w:val="000000"/>
        </w:rPr>
        <w:tab/>
      </w:r>
      <w:r w:rsidR="00572FB0" w:rsidRPr="00572FB0">
        <w:rPr>
          <w:color w:val="000000"/>
        </w:rPr>
        <w:t>A holder of property presumed abandoned shall report to the administrator via the internet in a format approved by the administrator, unless granted written permission by the administrator to file a paper report.</w:t>
      </w:r>
    </w:p>
    <w:p w14:paraId="7C0A5919" w14:textId="77777777" w:rsidR="00572FB0" w:rsidRPr="00572FB0" w:rsidRDefault="00572FB0" w:rsidP="00572FB0">
      <w:pPr>
        <w:rPr>
          <w:color w:val="000000"/>
        </w:rPr>
      </w:pPr>
    </w:p>
    <w:p w14:paraId="340912A3" w14:textId="5BE917F7" w:rsidR="00572FB0" w:rsidRPr="00572FB0" w:rsidRDefault="008256E8" w:rsidP="008256E8">
      <w:pPr>
        <w:ind w:left="1440" w:hanging="720"/>
        <w:rPr>
          <w:color w:val="000000"/>
        </w:rPr>
      </w:pPr>
      <w:r>
        <w:rPr>
          <w:color w:val="000000"/>
        </w:rPr>
        <w:t>b)</w:t>
      </w:r>
      <w:r>
        <w:rPr>
          <w:color w:val="000000"/>
        </w:rPr>
        <w:tab/>
      </w:r>
      <w:r w:rsidR="00572FB0" w:rsidRPr="00572FB0">
        <w:rPr>
          <w:color w:val="000000"/>
        </w:rPr>
        <w:t>A holder may contract with a third party to make the report required, but remains responsible to the administrator for the complete, accurate, and timely reporting of property presumed abandoned and for paying or delivering to the administrator property described in the report.</w:t>
      </w:r>
      <w:r w:rsidR="00934A77">
        <w:rPr>
          <w:color w:val="000000"/>
        </w:rPr>
        <w:t xml:space="preserve">  Any reports filed by a third party must provide the holder's contact name, email address, mailing address, and phone number.</w:t>
      </w:r>
    </w:p>
    <w:p w14:paraId="5B1CC91C" w14:textId="77777777" w:rsidR="00572FB0" w:rsidRPr="00572FB0" w:rsidRDefault="00572FB0" w:rsidP="00572FB0">
      <w:pPr>
        <w:rPr>
          <w:color w:val="000000"/>
        </w:rPr>
      </w:pPr>
    </w:p>
    <w:p w14:paraId="7A5C2577" w14:textId="77777777" w:rsidR="00572FB0" w:rsidRDefault="008256E8" w:rsidP="008256E8">
      <w:pPr>
        <w:ind w:left="1440" w:hanging="720"/>
        <w:rPr>
          <w:color w:val="000000"/>
        </w:rPr>
      </w:pPr>
      <w:r>
        <w:rPr>
          <w:color w:val="000000"/>
        </w:rPr>
        <w:t>c)</w:t>
      </w:r>
      <w:r>
        <w:rPr>
          <w:color w:val="000000"/>
        </w:rPr>
        <w:tab/>
      </w:r>
      <w:r w:rsidR="00572FB0" w:rsidRPr="00572FB0">
        <w:rPr>
          <w:color w:val="000000"/>
        </w:rPr>
        <w:t>The administrator will accept a report filed in the current National Association of Unclaimed Property Administrators (NAUPA) standard format found on the administrator</w:t>
      </w:r>
      <w:r>
        <w:rPr>
          <w:color w:val="000000"/>
        </w:rPr>
        <w:t>'</w:t>
      </w:r>
      <w:r w:rsidR="00572FB0" w:rsidRPr="00572FB0">
        <w:rPr>
          <w:color w:val="000000"/>
        </w:rPr>
        <w:t xml:space="preserve">s website: </w:t>
      </w:r>
      <w:r w:rsidR="00572FB0" w:rsidRPr="008256E8">
        <w:rPr>
          <w:color w:val="000000"/>
        </w:rPr>
        <w:t>icash.illinoistreasurer.gov</w:t>
      </w:r>
      <w:r w:rsidR="00572FB0" w:rsidRPr="00572FB0">
        <w:rPr>
          <w:color w:val="000000"/>
        </w:rPr>
        <w:t>.</w:t>
      </w:r>
    </w:p>
    <w:p w14:paraId="3C162E75" w14:textId="77777777" w:rsidR="002C7F03" w:rsidRDefault="002C7F03" w:rsidP="00BB0008">
      <w:pPr>
        <w:rPr>
          <w:color w:val="000000"/>
        </w:rPr>
      </w:pPr>
    </w:p>
    <w:p w14:paraId="3A010B75" w14:textId="77777777" w:rsidR="002C7F03" w:rsidRPr="002C7F03" w:rsidRDefault="002C7F03" w:rsidP="002C7F03">
      <w:pPr>
        <w:ind w:left="1440" w:hanging="720"/>
        <w:rPr>
          <w:i/>
          <w:iCs/>
          <w:color w:val="000000"/>
        </w:rPr>
      </w:pPr>
      <w:r w:rsidRPr="002C7F03">
        <w:rPr>
          <w:color w:val="000000"/>
        </w:rPr>
        <w:t>d)</w:t>
      </w:r>
      <w:r>
        <w:rPr>
          <w:color w:val="000000"/>
        </w:rPr>
        <w:tab/>
      </w:r>
      <w:r w:rsidRPr="002C7F03">
        <w:rPr>
          <w:i/>
          <w:iCs/>
          <w:color w:val="000000"/>
        </w:rPr>
        <w:t>A business association who has no reportable property shall so report to the administrator on forms via the Internet in a format approved by the administrator if the business association has:</w:t>
      </w:r>
    </w:p>
    <w:p w14:paraId="55214FE2" w14:textId="77777777" w:rsidR="002C7F03" w:rsidRPr="002C7F03" w:rsidRDefault="002C7F03" w:rsidP="00BB0008">
      <w:pPr>
        <w:rPr>
          <w:i/>
          <w:iCs/>
          <w:color w:val="000000"/>
        </w:rPr>
      </w:pPr>
    </w:p>
    <w:p w14:paraId="7A027CC5" w14:textId="77777777" w:rsidR="002C7F03" w:rsidRPr="002C7F03" w:rsidRDefault="002C7F03" w:rsidP="00C67D0E">
      <w:pPr>
        <w:ind w:left="1440"/>
        <w:rPr>
          <w:i/>
          <w:iCs/>
          <w:color w:val="000000"/>
        </w:rPr>
      </w:pPr>
      <w:r w:rsidRPr="002C7F03">
        <w:rPr>
          <w:color w:val="000000"/>
        </w:rPr>
        <w:t>1)</w:t>
      </w:r>
      <w:r>
        <w:rPr>
          <w:i/>
          <w:iCs/>
          <w:color w:val="000000"/>
        </w:rPr>
        <w:tab/>
      </w:r>
      <w:r w:rsidRPr="002C7F03">
        <w:rPr>
          <w:i/>
          <w:iCs/>
          <w:color w:val="000000"/>
        </w:rPr>
        <w:t>annual sales of more than $1,000,000;</w:t>
      </w:r>
    </w:p>
    <w:p w14:paraId="4C799271" w14:textId="77777777" w:rsidR="002C7F03" w:rsidRPr="002C7F03" w:rsidRDefault="002C7F03" w:rsidP="00BB0008">
      <w:pPr>
        <w:rPr>
          <w:i/>
          <w:iCs/>
          <w:color w:val="000000"/>
        </w:rPr>
      </w:pPr>
    </w:p>
    <w:p w14:paraId="6EF3E312" w14:textId="77777777" w:rsidR="002C7F03" w:rsidRPr="002C7F03" w:rsidRDefault="002C7F03" w:rsidP="00C67D0E">
      <w:pPr>
        <w:ind w:left="1440"/>
        <w:rPr>
          <w:i/>
          <w:iCs/>
          <w:color w:val="000000"/>
        </w:rPr>
      </w:pPr>
      <w:r w:rsidRPr="002C7F03">
        <w:rPr>
          <w:color w:val="000000"/>
        </w:rPr>
        <w:t>2)</w:t>
      </w:r>
      <w:r>
        <w:rPr>
          <w:i/>
          <w:iCs/>
          <w:color w:val="000000"/>
        </w:rPr>
        <w:tab/>
      </w:r>
      <w:r w:rsidRPr="002C7F03">
        <w:rPr>
          <w:i/>
          <w:iCs/>
          <w:color w:val="000000"/>
        </w:rPr>
        <w:t>securities that are publicly traded;</w:t>
      </w:r>
    </w:p>
    <w:p w14:paraId="1D5B2A91" w14:textId="77777777" w:rsidR="002C7F03" w:rsidRPr="002C7F03" w:rsidRDefault="002C7F03" w:rsidP="00BB0008">
      <w:pPr>
        <w:rPr>
          <w:i/>
          <w:iCs/>
          <w:color w:val="000000"/>
        </w:rPr>
      </w:pPr>
    </w:p>
    <w:p w14:paraId="4D7CCE6C" w14:textId="77777777" w:rsidR="002C7F03" w:rsidRPr="002C7F03" w:rsidRDefault="002C7F03" w:rsidP="00C67D0E">
      <w:pPr>
        <w:ind w:left="1440"/>
        <w:rPr>
          <w:i/>
          <w:iCs/>
          <w:color w:val="000000"/>
        </w:rPr>
      </w:pPr>
      <w:r w:rsidRPr="002C7F03">
        <w:rPr>
          <w:color w:val="000000"/>
        </w:rPr>
        <w:t>3)</w:t>
      </w:r>
      <w:r>
        <w:rPr>
          <w:i/>
          <w:iCs/>
          <w:color w:val="000000"/>
        </w:rPr>
        <w:tab/>
      </w:r>
      <w:r w:rsidRPr="002C7F03">
        <w:rPr>
          <w:i/>
          <w:iCs/>
          <w:color w:val="000000"/>
        </w:rPr>
        <w:t>a net worth of more than $10,000,000; or</w:t>
      </w:r>
    </w:p>
    <w:p w14:paraId="4807E598" w14:textId="77777777" w:rsidR="002C7F03" w:rsidRPr="00A81C0C" w:rsidRDefault="002C7F03" w:rsidP="00BB0008"/>
    <w:p w14:paraId="71FFC252" w14:textId="77777777" w:rsidR="002C7F03" w:rsidRPr="00A81C0C" w:rsidRDefault="002C7F03" w:rsidP="00A81C0C">
      <w:pPr>
        <w:ind w:left="2160" w:hanging="720"/>
      </w:pPr>
      <w:r w:rsidRPr="00A81C0C">
        <w:t>4)</w:t>
      </w:r>
      <w:r w:rsidRPr="00A81C0C">
        <w:tab/>
      </w:r>
      <w:r w:rsidRPr="00A81C0C">
        <w:rPr>
          <w:i/>
          <w:iCs/>
        </w:rPr>
        <w:t xml:space="preserve">more than 100 employees. </w:t>
      </w:r>
      <w:r w:rsidRPr="00A81C0C">
        <w:t>[765 ILCS 1026/15-401(d)]</w:t>
      </w:r>
    </w:p>
    <w:p w14:paraId="7BCEB647" w14:textId="77777777" w:rsidR="002C7F03" w:rsidRDefault="002C7F03" w:rsidP="00BB0008">
      <w:pPr>
        <w:rPr>
          <w:color w:val="000000"/>
        </w:rPr>
      </w:pPr>
    </w:p>
    <w:p w14:paraId="4433B09D" w14:textId="5C43EE28" w:rsidR="002C7F03" w:rsidRPr="00572FB0" w:rsidRDefault="00243574" w:rsidP="008256E8">
      <w:pPr>
        <w:ind w:left="1440" w:hanging="720"/>
        <w:rPr>
          <w:color w:val="000000"/>
        </w:rPr>
      </w:pPr>
      <w:r w:rsidRPr="00243574">
        <w:rPr>
          <w:color w:val="000000"/>
        </w:rPr>
        <w:t xml:space="preserve">(Source:  Amended at 48 Ill. Reg. </w:t>
      </w:r>
      <w:r w:rsidR="00A05F73">
        <w:rPr>
          <w:color w:val="000000"/>
        </w:rPr>
        <w:t>14162</w:t>
      </w:r>
      <w:r w:rsidRPr="00243574">
        <w:rPr>
          <w:color w:val="000000"/>
        </w:rPr>
        <w:t xml:space="preserve">, effective </w:t>
      </w:r>
      <w:r w:rsidR="00A05F73">
        <w:rPr>
          <w:color w:val="000000"/>
        </w:rPr>
        <w:t>September 10, 2024</w:t>
      </w:r>
      <w:r w:rsidRPr="00243574">
        <w:rPr>
          <w:color w:val="000000"/>
        </w:rPr>
        <w:t>)</w:t>
      </w:r>
    </w:p>
    <w:sectPr w:rsidR="002C7F03" w:rsidRPr="00572F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0728" w14:textId="77777777" w:rsidR="00572FB0" w:rsidRDefault="00572FB0">
      <w:r>
        <w:separator/>
      </w:r>
    </w:p>
  </w:endnote>
  <w:endnote w:type="continuationSeparator" w:id="0">
    <w:p w14:paraId="366CD252" w14:textId="77777777" w:rsidR="00572FB0" w:rsidRDefault="0057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4364" w14:textId="77777777" w:rsidR="00572FB0" w:rsidRDefault="00572FB0">
      <w:r>
        <w:separator/>
      </w:r>
    </w:p>
  </w:footnote>
  <w:footnote w:type="continuationSeparator" w:id="0">
    <w:p w14:paraId="6509F86D" w14:textId="77777777" w:rsidR="00572FB0" w:rsidRDefault="0057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E"/>
    <w:multiLevelType w:val="hybridMultilevel"/>
    <w:tmpl w:val="517C61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B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B15"/>
    <w:rsid w:val="0024357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F0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DB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FB0"/>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14B"/>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6E8"/>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A7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F73"/>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C0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008"/>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67D0E"/>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72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181C1"/>
  <w15:chartTrackingRefBased/>
  <w15:docId w15:val="{3FFE8C9C-8097-485B-817E-A4473AB9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72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710284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2024-08-19T18:27:00Z</dcterms:created>
  <dcterms:modified xsi:type="dcterms:W3CDTF">2024-09-27T12:45:00Z</dcterms:modified>
</cp:coreProperties>
</file>