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68" w:rsidRDefault="00DA0068" w:rsidP="00DA00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068" w:rsidRDefault="00DA0068" w:rsidP="00DA0068">
      <w:pPr>
        <w:widowControl w:val="0"/>
        <w:autoSpaceDE w:val="0"/>
        <w:autoSpaceDN w:val="0"/>
        <w:adjustRightInd w:val="0"/>
        <w:jc w:val="center"/>
      </w:pPr>
      <w:r>
        <w:t>PART 725</w:t>
      </w:r>
    </w:p>
    <w:p w:rsidR="00DA0068" w:rsidRDefault="00DA0068" w:rsidP="00DA0068">
      <w:pPr>
        <w:widowControl w:val="0"/>
        <w:autoSpaceDE w:val="0"/>
        <w:autoSpaceDN w:val="0"/>
        <w:adjustRightInd w:val="0"/>
        <w:jc w:val="center"/>
      </w:pPr>
      <w:r>
        <w:t>CAPITAL CRIMES LITIGATION TRUST FUND</w:t>
      </w:r>
    </w:p>
    <w:sectPr w:rsidR="00DA0068" w:rsidSect="00DA0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068"/>
    <w:rsid w:val="00373CFF"/>
    <w:rsid w:val="005C3366"/>
    <w:rsid w:val="005C7D29"/>
    <w:rsid w:val="00DA0068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725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725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