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80E1" w14:textId="77777777" w:rsidR="002C7A90" w:rsidRDefault="002C7A90" w:rsidP="00D56868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366E20DD" w14:textId="77777777" w:rsidR="00D56868" w:rsidRPr="00D56868" w:rsidRDefault="00D56868" w:rsidP="00D56868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D56868">
        <w:rPr>
          <w:b/>
        </w:rPr>
        <w:t xml:space="preserve">Section 722.700  Death of </w:t>
      </w:r>
      <w:r w:rsidR="00484E56">
        <w:rPr>
          <w:b/>
        </w:rPr>
        <w:t xml:space="preserve">a </w:t>
      </w:r>
      <w:r w:rsidR="00A73F4D">
        <w:rPr>
          <w:b/>
        </w:rPr>
        <w:t xml:space="preserve">Designated </w:t>
      </w:r>
      <w:r w:rsidRPr="00D56868">
        <w:rPr>
          <w:b/>
        </w:rPr>
        <w:t xml:space="preserve">Beneficiary </w:t>
      </w:r>
    </w:p>
    <w:p w14:paraId="39EF920E" w14:textId="77777777" w:rsidR="00D56868" w:rsidRPr="00D56868" w:rsidRDefault="00D56868" w:rsidP="00D56868">
      <w:pPr>
        <w:widowControl w:val="0"/>
        <w:autoSpaceDE w:val="0"/>
        <w:autoSpaceDN w:val="0"/>
        <w:adjustRightInd w:val="0"/>
        <w:ind w:left="1440" w:hanging="1440"/>
        <w:rPr>
          <w:b/>
          <w:highlight w:val="red"/>
        </w:rPr>
      </w:pPr>
    </w:p>
    <w:p w14:paraId="36C2FFC6" w14:textId="77777777" w:rsidR="000174EB" w:rsidRDefault="00A73F4D" w:rsidP="002C7A90">
      <w:pPr>
        <w:widowControl w:val="0"/>
        <w:autoSpaceDE w:val="0"/>
        <w:autoSpaceDN w:val="0"/>
        <w:adjustRightInd w:val="0"/>
      </w:pPr>
      <w:r>
        <w:rPr>
          <w:i/>
        </w:rPr>
        <w:t xml:space="preserve">Upon the death of the designated beneficiary, </w:t>
      </w:r>
      <w:r w:rsidRPr="005717F4">
        <w:rPr>
          <w:i/>
        </w:rPr>
        <w:t xml:space="preserve">proceeds from an account may be transferred to the </w:t>
      </w:r>
      <w:r w:rsidRPr="00621DF1">
        <w:rPr>
          <w:i/>
        </w:rPr>
        <w:t>estate of a designated beneficiary, or to an account for another eligible individual specified by the designated beneficiary or the estate of the designated beneficiary</w:t>
      </w:r>
      <w:r w:rsidR="00395A0B">
        <w:rPr>
          <w:i/>
        </w:rPr>
        <w:t>, or transferred pursuant to a payable on death account agreement. A payable on death account agreement may be executed by the designated beneficiary or a designated representative who has been granted such power. Upon the death of a designated beneficiary, prior to distribution of the balance to the estate, account for another eligible individual, or transfer pursuant to a payable on death account agreement, the State Treasurer may require verification that the funeral and burial expenses of the designated beneficiary have been paid</w:t>
      </w:r>
      <w:r w:rsidRPr="00621DF1">
        <w:rPr>
          <w:i/>
        </w:rPr>
        <w:t>.  An ag</w:t>
      </w:r>
      <w:r w:rsidR="00B00622">
        <w:rPr>
          <w:i/>
        </w:rPr>
        <w:t>ency or instrumentality of the S</w:t>
      </w:r>
      <w:r w:rsidRPr="00621DF1">
        <w:rPr>
          <w:i/>
        </w:rPr>
        <w:t xml:space="preserve">tate may not seek payment under </w:t>
      </w:r>
      <w:r w:rsidR="00B00622">
        <w:rPr>
          <w:i/>
        </w:rPr>
        <w:t>s</w:t>
      </w:r>
      <w:r w:rsidRPr="00621DF1">
        <w:rPr>
          <w:i/>
        </w:rPr>
        <w:t>ection 529A</w:t>
      </w:r>
      <w:r w:rsidR="00B00622">
        <w:rPr>
          <w:i/>
        </w:rPr>
        <w:t>(f)</w:t>
      </w:r>
      <w:r w:rsidRPr="00621DF1">
        <w:rPr>
          <w:i/>
        </w:rPr>
        <w:t xml:space="preserve"> of the Code from the account or its proceeds for benefits provided to a designated b</w:t>
      </w:r>
      <w:r w:rsidRPr="005717F4">
        <w:rPr>
          <w:i/>
        </w:rPr>
        <w:t>eneficiary</w:t>
      </w:r>
      <w:r w:rsidR="00D56868" w:rsidRPr="00D56868">
        <w:t>.</w:t>
      </w:r>
      <w:r>
        <w:t xml:space="preserve">  [15 ILCS 505/16.6(o)]</w:t>
      </w:r>
    </w:p>
    <w:p w14:paraId="71DB1CDA" w14:textId="77777777" w:rsidR="00A73F4D" w:rsidRDefault="00A73F4D" w:rsidP="002C7A90">
      <w:pPr>
        <w:widowControl w:val="0"/>
        <w:autoSpaceDE w:val="0"/>
        <w:autoSpaceDN w:val="0"/>
        <w:adjustRightInd w:val="0"/>
      </w:pPr>
    </w:p>
    <w:p w14:paraId="7DEED3CC" w14:textId="379D868D" w:rsidR="00A73F4D" w:rsidRPr="00D56868" w:rsidRDefault="00395A0B" w:rsidP="00A73F4D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8A1DF6">
        <w:t>19242</w:t>
      </w:r>
      <w:r>
        <w:t xml:space="preserve">, effective </w:t>
      </w:r>
      <w:r w:rsidR="008A1DF6">
        <w:t>November 20, 2022</w:t>
      </w:r>
      <w:r>
        <w:t>)</w:t>
      </w:r>
    </w:p>
    <w:sectPr w:rsidR="00A73F4D" w:rsidRPr="00D568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E280" w14:textId="77777777" w:rsidR="00D56868" w:rsidRDefault="00D56868">
      <w:r>
        <w:separator/>
      </w:r>
    </w:p>
  </w:endnote>
  <w:endnote w:type="continuationSeparator" w:id="0">
    <w:p w14:paraId="1C8AE987" w14:textId="77777777" w:rsidR="00D56868" w:rsidRDefault="00D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3C02" w14:textId="77777777" w:rsidR="00D56868" w:rsidRDefault="00D56868">
      <w:r>
        <w:separator/>
      </w:r>
    </w:p>
  </w:footnote>
  <w:footnote w:type="continuationSeparator" w:id="0">
    <w:p w14:paraId="052B60A0" w14:textId="77777777" w:rsidR="00D56868" w:rsidRDefault="00D5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97C7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0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A0B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E5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73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FC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DF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C6C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F4D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622"/>
    <w:rsid w:val="00B01411"/>
    <w:rsid w:val="00B15414"/>
    <w:rsid w:val="00B17273"/>
    <w:rsid w:val="00B17D78"/>
    <w:rsid w:val="00B23B52"/>
    <w:rsid w:val="00B2411F"/>
    <w:rsid w:val="00B24735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139"/>
    <w:rsid w:val="00D55B37"/>
    <w:rsid w:val="00D5634E"/>
    <w:rsid w:val="00D5686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E8E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BC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EADC0"/>
  <w15:chartTrackingRefBased/>
  <w15:docId w15:val="{1FA8E26F-EADD-4C95-B546-8CB077E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